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59" w:rsidRPr="003E2B5C" w:rsidRDefault="003E2B5C" w:rsidP="003E2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B5C"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3E2B5C" w:rsidRPr="003E2B5C" w:rsidRDefault="003E2B5C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Деньги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– особый товар, представляющий всеобщий эквивалент (</w:t>
      </w:r>
      <w:proofErr w:type="spellStart"/>
      <w:r w:rsidRPr="003E2B5C">
        <w:rPr>
          <w:rFonts w:ascii="Times New Roman" w:eastAsia="TimesNewRomanPSMT" w:hAnsi="Times New Roman" w:cs="Times New Roman"/>
          <w:sz w:val="24"/>
          <w:szCs w:val="24"/>
        </w:rPr>
        <w:t>равностоимость</w:t>
      </w:r>
      <w:proofErr w:type="spellEnd"/>
      <w:r w:rsidRPr="003E2B5C">
        <w:rPr>
          <w:rFonts w:ascii="Times New Roman" w:eastAsia="TimesNewRomanPSMT" w:hAnsi="Times New Roman" w:cs="Times New Roman"/>
          <w:sz w:val="24"/>
          <w:szCs w:val="24"/>
        </w:rPr>
        <w:t>) или всеобщую эквивалентную форму стоимости всех других товаров. Специфическое свойство денежного товара – выражать стоимость любого другого товара, служить всеобщим орудием обмена.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1) мера стоимости – деньги как всеобщий эквивалент измеряют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стоимость всех товаров;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2) средство обращения – товарное обращение включает два изменения форм стоимости: продажу одного товара и куплю другого.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этом процессе деньги играют роль посредника в обмене двух товаров: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товар – деньги – товар (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1–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Д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–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2);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3) средство образования сокровищ, накоплений и сбережений;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4) средство платежа – возникла в связи с развитием кредитных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отношений (в этой функции деньги используются при продаже товаров в кредит и при выплате зарплаты рабочим и служащим);</w:t>
      </w:r>
    </w:p>
    <w:p w:rsid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5) мировые деньги – служат всеобщим платежным средством,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всеобщим покупательным средством, материализацией общественного богатства.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</w:p>
    <w:p w:rsidR="00323159" w:rsidRPr="00C40788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88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3E2B5C" w:rsidRPr="003E2B5C" w:rsidRDefault="003E2B5C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Денежная система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 xml:space="preserve">– исторически сложившаяся форма организации денежного обращения страны, регламентированная в общегосударственном масштабе. Различают биметаллические и </w:t>
      </w:r>
      <w:proofErr w:type="spellStart"/>
      <w:r w:rsidRPr="003E2B5C">
        <w:rPr>
          <w:rFonts w:ascii="Times New Roman" w:eastAsia="TimesNewRomanPSMT" w:hAnsi="Times New Roman" w:cs="Times New Roman"/>
          <w:sz w:val="24"/>
          <w:szCs w:val="24"/>
        </w:rPr>
        <w:t>монометалллические</w:t>
      </w:r>
      <w:proofErr w:type="spellEnd"/>
      <w:r w:rsidRPr="003E2B5C">
        <w:rPr>
          <w:rFonts w:ascii="Times New Roman" w:eastAsia="TimesNewRomanPSMT" w:hAnsi="Times New Roman" w:cs="Times New Roman"/>
          <w:sz w:val="24"/>
          <w:szCs w:val="24"/>
        </w:rPr>
        <w:t xml:space="preserve"> денежные системы. Для биметаллической денежной системы характерны следующие признаки: свободная чеканка золота и серебра; фиксированное законом соотношение между стоимостью золота и серебра («биметаллическая пара»); неограниченная разменная способность золота и серебра. При монометаллической денежной системе только один эталонный металл является предметом свободной чеканки и обладает неограниченной разменной способностью. Монометаллизм может быть золотой и серебряный.</w:t>
      </w:r>
    </w:p>
    <w:p w:rsidR="003E2B5C" w:rsidRDefault="003E2B5C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Биметаллические денежные системы преобладали в 14-18 веках. Соотношение между золотыми и серебряными монетами устанавливалась в зависимости от рыночной цены денежного  металла. </w:t>
      </w:r>
    </w:p>
    <w:p w:rsidR="003E2B5C" w:rsidRDefault="003E2B5C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159">
        <w:rPr>
          <w:rFonts w:ascii="Times New Roman" w:hAnsi="Times New Roman" w:cs="Times New Roman"/>
          <w:sz w:val="24"/>
          <w:szCs w:val="24"/>
          <w:u w:val="single"/>
        </w:rPr>
        <w:t>Пример.</w:t>
      </w:r>
      <w:r>
        <w:rPr>
          <w:rFonts w:ascii="Times New Roman" w:hAnsi="Times New Roman" w:cs="Times New Roman"/>
          <w:sz w:val="24"/>
          <w:szCs w:val="24"/>
        </w:rPr>
        <w:t xml:space="preserve"> Античность и средние века – соотношение золота и серебра 1:10 и 1:12, а в 17-18 веках: 1 к 14,5 и 1 к 15,6. </w:t>
      </w:r>
    </w:p>
    <w:p w:rsidR="003E2B5C" w:rsidRDefault="003E2B5C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19 века биметаллизм </w:t>
      </w:r>
      <w:r w:rsidR="001E0BD5">
        <w:rPr>
          <w:rFonts w:ascii="Times New Roman" w:hAnsi="Times New Roman" w:cs="Times New Roman"/>
          <w:sz w:val="24"/>
          <w:szCs w:val="24"/>
        </w:rPr>
        <w:t>сменился на монометаллизм, он выступал в форме:</w:t>
      </w:r>
    </w:p>
    <w:p w:rsidR="001E0BD5" w:rsidRDefault="001E0BD5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золотомонетного стандарта – просуществовал до первой мировой войны, когда золото было изъято из обращения и введены неразменные кредитные деньги из-за роста военных расходов. </w:t>
      </w:r>
    </w:p>
    <w:p w:rsidR="001E0BD5" w:rsidRDefault="001E0BD5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золотослиткового стандарта – денежная система, при которой  в обращении отсутствуют золотые  монеты и их свободная чеканка, обмен банкнот производится только на золотые слитки с определенными ограничениями. Золото не выполняет функций платежа и обращения. </w:t>
      </w:r>
    </w:p>
    <w:p w:rsidR="00C40788" w:rsidRDefault="001E0BD5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золотодевизного стандарта – свободно </w:t>
      </w:r>
      <w:r w:rsidR="00C40788">
        <w:rPr>
          <w:rFonts w:ascii="Times New Roman" w:hAnsi="Times New Roman" w:cs="Times New Roman"/>
          <w:sz w:val="24"/>
          <w:szCs w:val="24"/>
        </w:rPr>
        <w:t xml:space="preserve">обращаются бумажно-кредитные деньги, обмениваемые на девизы. Девиза – это платежное средство, ценность которого выражалась согласно установленному курсу иностранной валюты. Золотодевизный стандарт предусматривает функционирование двух базовых валют доллара США и англ. Фунта стерлингов. </w:t>
      </w:r>
    </w:p>
    <w:p w:rsidR="00C40788" w:rsidRDefault="00C40788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0788" w:rsidRDefault="00C40788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стандарты были направлены на то, чтобы избавиться от дисбаланса между запасами золота в стране и общей денежной массой. </w:t>
      </w:r>
    </w:p>
    <w:p w:rsidR="00C40788" w:rsidRDefault="00C40788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0BD5" w:rsidRPr="00C40788" w:rsidRDefault="00C40788" w:rsidP="003E2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88">
        <w:rPr>
          <w:rFonts w:ascii="Times New Roman" w:hAnsi="Times New Roman" w:cs="Times New Roman"/>
          <w:b/>
          <w:sz w:val="24"/>
          <w:szCs w:val="24"/>
        </w:rPr>
        <w:t xml:space="preserve">Слайд 3 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>Выделяют следующие классы денег: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>1. Натуральные (вещественные) деньги – шкуры зверей, раковины, зерно, предметы обихода, скот.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>2. Металлические деньги – это «символические» деньги, т.е. сделаны из материалов, по стоимости не соответствующих их номинальной стоимости.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>3. Бумажные деньги – выступают в роли казначейских билетов (билетов Банка России). Их вещественное представление вторично, значение определяется номиналом, обозначенным на купюре.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>4. Кредитные деньги. Основными видами кредитных денег являются: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вексель – письменное долговое обязательство строго установленной формы, дающее бесспорное право его владельцу (векселедержателю) по истечении срока требовать с должника обозначенную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денежную сумму;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E2B5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3E2B5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банкнота (банковский билет) – долговое обязательство банка,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появляется в результате замены частных векселей векселями банков;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</w:t>
      </w:r>
      <w:r w:rsidRPr="003E2B5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чек – безусловный приказ владельца текущего счета банку 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выплате указанной суммы указанному лицу или предъявителю;</w:t>
      </w:r>
    </w:p>
    <w:p w:rsidR="00C40788" w:rsidRPr="003E2B5C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3E2B5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электронные деньги (виртуальные деньги) – информация в специализированных банках данных (денежных банках);</w:t>
      </w:r>
    </w:p>
    <w:p w:rsid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 xml:space="preserve">пластиковые карточки – средства расчетов, замещающие наличные деньги и чеки, а </w:t>
      </w:r>
      <w:r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3E2B5C">
        <w:rPr>
          <w:rFonts w:ascii="Times New Roman" w:eastAsia="TimesNewRomanPSMT" w:hAnsi="Times New Roman" w:cs="Times New Roman"/>
          <w:sz w:val="24"/>
          <w:szCs w:val="24"/>
        </w:rPr>
        <w:t>акже позволяющие владельцу получить</w:t>
      </w:r>
    </w:p>
    <w:p w:rsid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40788" w:rsidRP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0788">
        <w:rPr>
          <w:rFonts w:ascii="Times New Roman" w:eastAsia="TimesNewRomanPSMT" w:hAnsi="Times New Roman" w:cs="Times New Roman"/>
          <w:sz w:val="24"/>
          <w:szCs w:val="24"/>
        </w:rPr>
        <w:t>Денежная система Российской Федерации функционирует в соответствии с Федеральным законом № 86-ФЗ от 10 июля 2002 г.</w:t>
      </w:r>
    </w:p>
    <w:p w:rsidR="00C40788" w:rsidRP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0788">
        <w:rPr>
          <w:rFonts w:ascii="Times New Roman" w:eastAsia="TimesNewRomanPSMT" w:hAnsi="Times New Roman" w:cs="Times New Roman"/>
          <w:sz w:val="24"/>
          <w:szCs w:val="24"/>
        </w:rPr>
        <w:t>«О Центральном банке Российской Федерации», определившим ее правовые основы. Официальной денежной единицей Российской Федерации является рубль. Соотношение между рублем и драгоценными металлами законом не установлено. Официальный курс рубля к иностранным денежным единицам устанавливается Банком России и публикуется в печати.</w:t>
      </w:r>
    </w:p>
    <w:p w:rsidR="00C40788" w:rsidRP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0788">
        <w:rPr>
          <w:rFonts w:ascii="Times New Roman" w:eastAsia="TimesNewRomanPSMT" w:hAnsi="Times New Roman" w:cs="Times New Roman"/>
          <w:sz w:val="24"/>
          <w:szCs w:val="24"/>
        </w:rPr>
        <w:t xml:space="preserve">Исключительным правом эмиссии наличных денег, организации их обращения и изъятия на территории Российской Федерации обладает Центральный банк. Он отвечает за состояние денежного обращения с целью поддержания нормальной экономической деятельности в стране. </w:t>
      </w:r>
    </w:p>
    <w:p w:rsid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0788">
        <w:rPr>
          <w:rFonts w:ascii="Times New Roman" w:eastAsia="TimesNewRomanPSMT" w:hAnsi="Times New Roman" w:cs="Times New Roman"/>
          <w:sz w:val="24"/>
          <w:szCs w:val="24"/>
        </w:rPr>
        <w:t>Видами денег, имеющими законную платежную силу, являются банкноты и металлические монеты, которые обеспечиваются всеми активами Центрального банка, в том числе: золотым запасом;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40788">
        <w:rPr>
          <w:rFonts w:ascii="Times New Roman" w:eastAsia="TimesNewRomanPSMT" w:hAnsi="Times New Roman" w:cs="Times New Roman"/>
          <w:sz w:val="24"/>
          <w:szCs w:val="24"/>
        </w:rPr>
        <w:t>государственными ценными бумагами; резервами кредитных учреждений, находящимися на счетах в Центральном банке.</w:t>
      </w:r>
    </w:p>
    <w:p w:rsidR="00AD07B2" w:rsidRPr="00C40788" w:rsidRDefault="00AD07B2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Традиционные валюты называются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фиатными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деньгами, то есть их непосредственная стоимость меньше номинала. </w:t>
      </w:r>
    </w:p>
    <w:p w:rsidR="00C40788" w:rsidRPr="00C40788" w:rsidRDefault="00C40788" w:rsidP="00C40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40788">
        <w:rPr>
          <w:rFonts w:ascii="Times New Roman" w:eastAsia="TimesNewRomanPSMT" w:hAnsi="Times New Roman" w:cs="Times New Roman"/>
          <w:b/>
          <w:sz w:val="24"/>
          <w:szCs w:val="24"/>
        </w:rPr>
        <w:t>Слайд 4</w:t>
      </w:r>
    </w:p>
    <w:p w:rsid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Важнейшим количественным показателем денежного обращения является денежная масса – совокупный объем покупательных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платежных средств, обслуживающих хозяйственный оборот и принадлежащих частным лицам, предприятиям и государству. Для анализа количественных изменений денежного обращения на определенную дату и за определенный период, а также для разработки мероприятий по регулированию темпов роста и объема денежной массы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используются различные показатели (денежные агрегаты). 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  <w:u w:val="single"/>
        </w:rPr>
        <w:t>Для расчета совокупной денежной массы в Российской Федерации используются следующие агрегаты: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0 = наличные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деньги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1 =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0 </w:t>
      </w:r>
      <w:r w:rsidRPr="0032315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+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Расчетные, текущие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 и прочие счета (расчетные, спе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циальные счета, счета капитальных вложений, аккредити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>вы и чеко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вые счета, бюджетные, профсоюзные счета) </w:t>
      </w:r>
      <w:r w:rsidRPr="0032315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+ 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>Вклады в коммерче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ских банках </w:t>
      </w:r>
      <w:r w:rsidRPr="0032315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+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Депозиты до востребования в Сбербанке;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2 =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1 </w:t>
      </w:r>
      <w:r w:rsidRPr="0032315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+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Срочные вклады в Сбербанке;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3 =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2 </w:t>
      </w:r>
      <w:r w:rsidRPr="0032315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+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Депозитные сертификаты и облигации госзаймов.</w:t>
      </w:r>
    </w:p>
    <w:p w:rsidR="00323159" w:rsidRPr="00323159" w:rsidRDefault="00323159" w:rsidP="00323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Для определения необходимого количества денег в обращении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американский экономист И. Фишер вывел уравнение обмена</w:t>
      </w:r>
    </w:p>
    <w:p w:rsidR="00323159" w:rsidRPr="00323159" w:rsidRDefault="00323159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 · V=P · Q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, (1)</w:t>
      </w:r>
    </w:p>
    <w:p w:rsidR="00323159" w:rsidRPr="00323159" w:rsidRDefault="00323159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где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М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– масса денег в обращении;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V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–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 скорость обращения денег (сред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негодовое количество оборотов денег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>, которые используются на покуп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ку товаров и услуг, или количество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 обменов денежной единицы на то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вары и услуги в течение года);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Р 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 xml:space="preserve">– средняя цена товаров и услуг; </w:t>
      </w:r>
      <w:r w:rsidRPr="0032315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Q 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>– ко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личество проданных товаров и оказанных услуг.</w:t>
      </w:r>
    </w:p>
    <w:p w:rsidR="00323159" w:rsidRDefault="00323159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3159">
        <w:rPr>
          <w:rFonts w:ascii="Times New Roman" w:eastAsia="TimesNewRomanPSMT" w:hAnsi="Times New Roman" w:cs="Times New Roman"/>
          <w:sz w:val="24"/>
          <w:szCs w:val="24"/>
        </w:rPr>
        <w:t>Количество денег в обращени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>и, умноженное на число их оборо</w:t>
      </w:r>
      <w:r w:rsidRPr="00323159">
        <w:rPr>
          <w:rFonts w:ascii="Times New Roman" w:eastAsia="TimesNewRomanPSMT" w:hAnsi="Times New Roman" w:cs="Times New Roman"/>
          <w:sz w:val="24"/>
          <w:szCs w:val="24"/>
        </w:rPr>
        <w:t>тов в актах купли-продажи за год, р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авно объему валового национального продукта. ТО есть ВВП = </w:t>
      </w:r>
      <w:r w:rsidR="00D632A3">
        <w:rPr>
          <w:rFonts w:ascii="Times New Roman" w:eastAsia="TimesNewRomanPSMT" w:hAnsi="Times New Roman" w:cs="Times New Roman"/>
          <w:sz w:val="24"/>
          <w:szCs w:val="24"/>
          <w:lang w:val="en-US"/>
        </w:rPr>
        <w:t>P</w:t>
      </w:r>
      <w:r w:rsidR="00D632A3" w:rsidRPr="007C3E97">
        <w:rPr>
          <w:rFonts w:ascii="Times New Roman" w:eastAsia="TimesNewRomanPSMT" w:hAnsi="Times New Roman" w:cs="Times New Roman"/>
          <w:sz w:val="24"/>
          <w:szCs w:val="24"/>
        </w:rPr>
        <w:t>*</w:t>
      </w:r>
      <w:r w:rsidR="00D632A3">
        <w:rPr>
          <w:rFonts w:ascii="Times New Roman" w:eastAsia="TimesNewRomanPSMT" w:hAnsi="Times New Roman" w:cs="Times New Roman"/>
          <w:sz w:val="24"/>
          <w:szCs w:val="24"/>
          <w:lang w:val="en-US"/>
        </w:rPr>
        <w:t>Q</w:t>
      </w:r>
      <w:r w:rsidR="00D632A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C40788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Слайд 6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6F0">
        <w:rPr>
          <w:rFonts w:ascii="Times New Roman" w:hAnsi="Times New Roman" w:cs="Times New Roman"/>
          <w:b/>
          <w:bCs/>
          <w:sz w:val="24"/>
          <w:szCs w:val="24"/>
        </w:rPr>
        <w:t>Спрос: факторы и закон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Функционирование рынка и экономики в целом обеспечивается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уравновешенными отношениями купли-продажи. В связи с этим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рынке действуют покупатели и продавцы как самостоятельные экономические субъекты. Продавцы реализуют готовую продукцию, услуги, полуфабрикаты и пр., а покупатели предъявляют на все это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спрос.</w:t>
      </w:r>
    </w:p>
    <w:p w:rsid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Спрос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– это экономическая категория, показывающая стремление покупателя к приобретению нужной ему продукции с учетом текущего процесса ценообразования и прочих экономических показателей. В роли товара могут выступать любые предметы производства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зависимости от его специализации: продукты, ткани, услуги, идеи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все то, что может быть оценено экономическими субъектами как благо, имеющее высокую полезность.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4384675"/>
            <wp:effectExtent l="19050" t="0" r="63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38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Для определения места спроса в системе экономических отношений необходимо ввести такое понятие, как закон спроса. Он характеризуется тем, что количество приобретаемой субъектом на рынке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продукции определяется главным образом ее стоимостью или рыночной оценкой.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Потребитель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– это рациональный субъект экономической деятельности, поэтому он стремится минимизировать свои издержки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(расходы). Безусловно, это не говорит о том, что погоня за минимизацией затрат должна сопровождаться покупкой некачественного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слишком дешевого уцененного товара, конечно, если уценка не связана просто с сезонными циклами. Сегодня вообще цена не гарантирует качества, поэтому даже самый дорогой товар порой не обладает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 xml:space="preserve">высокими качественными характеристиками. Величина спроса складывается не только из стоимости товара, но и под действием следующих </w:t>
      </w:r>
      <w:r w:rsidRPr="00A616F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неценовых факторов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1) текущие доходы потребителей. Как известно, чем выше доход, тем динамичнее становится структура потребления индивида: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растут его сбережения, а вместе с этим и денежные суммы, затраченные на приобретение необходимых товаров и услуг;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 xml:space="preserve">2) вкусы и предпочтения потребителей. Они подвержены изменениям с течением времени, например, под влиянием постоянно изменяющейся моды. Некоторые покупатели постоянны и,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lastRenderedPageBreak/>
        <w:t>придерживаясь одной марки, предпочитают удовлетворять свои потребности продукцией исключительно конкретного производителя, зачастую даже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независимо от ценовой характеристики;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3) цена на товары-заменители и товары-</w:t>
      </w:r>
      <w:proofErr w:type="spellStart"/>
      <w:r w:rsidRPr="00A616F0">
        <w:rPr>
          <w:rFonts w:ascii="Times New Roman" w:eastAsia="TimesNewRomanPSMT" w:hAnsi="Times New Roman" w:cs="Times New Roman"/>
          <w:sz w:val="24"/>
          <w:szCs w:val="24"/>
        </w:rPr>
        <w:t>дополнители</w:t>
      </w:r>
      <w:proofErr w:type="spellEnd"/>
      <w:r w:rsidRPr="00A616F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а) товары-конкуренты, т. е. товары-субституты. Пример – мандарины и апельсины. Если на рынке происходит изменение (в данном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случае рост) цены на мандарины, покупатель будет склонен к покупке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апельсинов, поскольку они также могут удовлетворить потребность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потреблении фруктов при более низкой стоимости;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б) товары, дополняющие друг друга, или товары-комплименты.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Например, если начинают расти цены на бензин, спрос на автомобили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планомерно снижается, поскольку топливо является ведущим фактором, определяющим работу машин, по крайней мере создает для этого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все условия;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4) потребительские ожидания. Покупатель при потреблении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оценивает экономическую ситуацию в стране: уровень цен, динамику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процентных ставок, величину инфляции. Повышение инфляционных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ожиданий (нестабильность цен), как правило, способствует тому, что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субъекты стараются купить все больший объем товаров, т. е. увеличивают потребительский спрос. Это же может стать причиной роста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цен, главным образом на товары первой необходимости;</w:t>
      </w:r>
    </w:p>
    <w:p w:rsidR="00A616F0" w:rsidRP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5) количество потребителей, осуществляющих покупки на рынке.</w:t>
      </w:r>
    </w:p>
    <w:p w:rsidR="00C40788" w:rsidRDefault="00C40788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</w:t>
      </w: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6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4788535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78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8</w:t>
      </w: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6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4497705"/>
            <wp:effectExtent l="1905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49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</w:p>
    <w:p w:rsidR="00A616F0" w:rsidRDefault="00A616F0" w:rsidP="00C40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639" w:rsidRDefault="00F32639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4403" cy="3256547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97" cy="325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A616F0" w:rsidRDefault="00A616F0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616F0">
        <w:rPr>
          <w:rFonts w:ascii="Times New Roman" w:eastAsia="TimesNewRomanPSMT" w:hAnsi="Times New Roman" w:cs="Times New Roman"/>
          <w:sz w:val="24"/>
          <w:szCs w:val="24"/>
        </w:rPr>
        <w:t>Предложение на рынке товаров и услуг характеризуется объемом товарной продукции, которую производители, посредники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 xml:space="preserve">продавцы готовы выставить на продажу по различным альтернативным ценам в рамках одного временного промежутка. Величина предложения на рынке, его структура непосредственно определяются потребительским спросом, т. е. желанием покупателя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lastRenderedPageBreak/>
        <w:t>приобрести именно данный тип товара для текущего или будущего потребления, 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также уровнем доходности или платежеспособности экономического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субъекта. В соответствии с вышеизложенным получается, что закон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предложения отражает прямую зависимость между объемами производства и уровнем установленных рыночных цен. Иными словами,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если цены на рынке товаров и услуг, факторов производства, финансовом рынке и пр. планомерно растут, производитель автоматически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616F0">
        <w:rPr>
          <w:rFonts w:ascii="Times New Roman" w:eastAsia="TimesNewRomanPSMT" w:hAnsi="Times New Roman" w:cs="Times New Roman"/>
          <w:sz w:val="24"/>
          <w:szCs w:val="24"/>
        </w:rPr>
        <w:t>принимает решение производить и поставлять на рынок для реализации все больший объем продукции, работ, услуг.</w:t>
      </w:r>
    </w:p>
    <w:p w:rsidR="003A0506" w:rsidRPr="003A0506" w:rsidRDefault="003A0506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A0506">
        <w:rPr>
          <w:rFonts w:ascii="Times New Roman" w:eastAsia="TimesNewRomanPSMT" w:hAnsi="Times New Roman" w:cs="Times New Roman"/>
          <w:b/>
          <w:sz w:val="24"/>
          <w:szCs w:val="24"/>
        </w:rPr>
        <w:t>Слайд 10</w:t>
      </w:r>
    </w:p>
    <w:p w:rsidR="003A0506" w:rsidRDefault="003A0506" w:rsidP="00A61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A0506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5771" cy="3842084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787" cy="384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На величину предложения оказывают влияние два вида факторов: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1) ценовые факторы. Они неразрывно связаны с процессом ценообразования, будь то цены на готовую продукцию или на первичное сырье, которое идет на ее изготовление. Соответственно, если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общий уровень рыночных цен невысок, это будет сопровождаться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 xml:space="preserve">большими издержками 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роизводи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телей, особенно если цены на ре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сурсы и факторы производства с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лишком высоки. В этом случае вы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ручка от продажи произведенной продукции будет практически вся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уходить на покрытие издержек и уплату налогов;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2) неценовые факторы: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A0506" w:rsidRPr="003A0506">
        <w:rPr>
          <w:rFonts w:ascii="Times New Roman" w:eastAsia="TimesNewRomanPSMT" w:hAnsi="Times New Roman" w:cs="Times New Roman"/>
          <w:b/>
          <w:sz w:val="24"/>
          <w:szCs w:val="24"/>
        </w:rPr>
        <w:t>СЛАЙД 11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 xml:space="preserve">а) динамика цен на ресурсы. 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Для осуществления производствен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ной деятельности фирма делает з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акупки сырья и необходимого обо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рудования. При увеличении цен на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основные, оборотные фонды и ре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сурсы производства издержки предприятия тоже будут неуклонно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расти. Рост затрат, в свою очере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дь, вынуждает фирму или предпри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ятие сокращать производственную деятельность до тех пор, пока цена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на единицу продукции не окажетс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я равной или ниже предельных из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держек; в результате предложение начинает сокращаться;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б) разработка новых техноло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гий позволяет производителю уве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личить эффективность производства и, как следствие, количество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производимой продукции. Внед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рение новых основных производст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венных фондов и технологическ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их открытий (машины и оборудова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ние) на производстве способству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ет снижению показателей материа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лоемкости и трудоемкости и росту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фондоотдачи. Иными словами, ре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альным становится процесс расширения масштабов производства;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>в) динамика величины нало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гообложения. Налоги являются ре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гулятором государственного бюдже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та, они периодически (как прави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ло, раз в месяц) изымаются из дохода всех экономических субъектов.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lastRenderedPageBreak/>
        <w:t>Чем выше налоговая ставка и сумма налога, подлежащая отчислению,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тем ниже становится потенциал д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ля дальнейшего развития. Это мо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жет явиться причиной возникновения такой проблемы, как теневая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экономика и сокрытие доходов.</w:t>
      </w:r>
    </w:p>
    <w:p w:rsidR="00F32639" w:rsidRPr="00F32639" w:rsidRDefault="00F32639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2639">
        <w:rPr>
          <w:rFonts w:ascii="Times New Roman" w:eastAsia="TimesNewRomanPSMT" w:hAnsi="Times New Roman" w:cs="Times New Roman"/>
          <w:sz w:val="24"/>
          <w:szCs w:val="24"/>
        </w:rPr>
        <w:t xml:space="preserve">г) численность продавцов 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на рынке. При совершенной конку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ренции из-за однородности произ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>водимого товара может быть нару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шена динамика предложения, так как поставка продукции по своей</w:t>
      </w:r>
      <w:r w:rsidR="003A0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32639">
        <w:rPr>
          <w:rFonts w:ascii="Times New Roman" w:eastAsia="TimesNewRomanPSMT" w:hAnsi="Times New Roman" w:cs="Times New Roman"/>
          <w:sz w:val="24"/>
          <w:szCs w:val="24"/>
        </w:rPr>
        <w:t>величине не соответствует величине спроса;</w:t>
      </w:r>
    </w:p>
    <w:p w:rsidR="00A616F0" w:rsidRDefault="00A616F0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639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12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A0506">
        <w:rPr>
          <w:rFonts w:ascii="Times New Roman" w:eastAsia="TimesNewRomanPSMT" w:hAnsi="Times New Roman" w:cs="Times New Roman"/>
          <w:sz w:val="24"/>
          <w:szCs w:val="24"/>
        </w:rPr>
        <w:t>Эластичность представляет собой гибкость спроса и предложения по отношению к динамичной внешней рыночной среде.</w:t>
      </w:r>
    </w:p>
    <w:p w:rsidR="00B07F24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A050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Эластичность спроса </w:t>
      </w:r>
      <w:r w:rsidRPr="003A0506">
        <w:rPr>
          <w:rFonts w:ascii="Times New Roman" w:eastAsia="TimesNewRomanPSMT" w:hAnsi="Times New Roman" w:cs="Times New Roman"/>
          <w:sz w:val="24"/>
          <w:szCs w:val="24"/>
        </w:rPr>
        <w:t>показывает способность его величины 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A0506">
        <w:rPr>
          <w:rFonts w:ascii="Times New Roman" w:eastAsia="TimesNewRomanPSMT" w:hAnsi="Times New Roman" w:cs="Times New Roman"/>
          <w:sz w:val="24"/>
          <w:szCs w:val="24"/>
        </w:rPr>
        <w:t xml:space="preserve">изменениям вследствие динамики различных факторов, </w:t>
      </w:r>
      <w:proofErr w:type="spellStart"/>
      <w:r w:rsidRPr="003A0506">
        <w:rPr>
          <w:rFonts w:ascii="Times New Roman" w:eastAsia="TimesNewRomanPSMT" w:hAnsi="Times New Roman" w:cs="Times New Roman"/>
          <w:sz w:val="24"/>
          <w:szCs w:val="24"/>
        </w:rPr>
        <w:t>оказывающихна</w:t>
      </w:r>
      <w:proofErr w:type="spellEnd"/>
      <w:r w:rsidRPr="003A0506">
        <w:rPr>
          <w:rFonts w:ascii="Times New Roman" w:eastAsia="TimesNewRomanPSMT" w:hAnsi="Times New Roman" w:cs="Times New Roman"/>
          <w:sz w:val="24"/>
          <w:szCs w:val="24"/>
        </w:rPr>
        <w:t xml:space="preserve"> него качественное влияние. Иными словами, это принцип определения зависимости величины потребительского спроса от рыночных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A0506">
        <w:rPr>
          <w:rFonts w:ascii="Times New Roman" w:eastAsia="TimesNewRomanPSMT" w:hAnsi="Times New Roman" w:cs="Times New Roman"/>
          <w:sz w:val="24"/>
          <w:szCs w:val="24"/>
        </w:rPr>
        <w:t>механизмов, таких как цена, процентная ставка и пр., а также от количественных показателей уровня жизни и достатка экономических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A0506">
        <w:rPr>
          <w:rFonts w:ascii="Times New Roman" w:eastAsia="TimesNewRomanPSMT" w:hAnsi="Times New Roman" w:cs="Times New Roman"/>
          <w:sz w:val="24"/>
          <w:szCs w:val="24"/>
        </w:rPr>
        <w:t xml:space="preserve">субъектов. 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A0506">
        <w:rPr>
          <w:rFonts w:ascii="Times New Roman" w:eastAsia="TimesNewRomanPSMT" w:hAnsi="Times New Roman" w:cs="Times New Roman"/>
          <w:sz w:val="24"/>
          <w:szCs w:val="24"/>
        </w:rPr>
        <w:t>Эластичность спроса бывает трех видов: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07F24">
        <w:rPr>
          <w:rFonts w:ascii="Times New Roman" w:eastAsia="TimesNewRomanPSMT" w:hAnsi="Times New Roman" w:cs="Times New Roman"/>
          <w:sz w:val="24"/>
          <w:szCs w:val="24"/>
          <w:highlight w:val="yellow"/>
        </w:rPr>
        <w:t>1) Эластичность спроса по цене (прямая) – это степень чувствительности спроса на товар к изменению цены на этот товар.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3A0506" w:rsidRDefault="003A0506" w:rsidP="003A0506">
      <w:pPr>
        <w:autoSpaceDE w:val="0"/>
        <w:autoSpaceDN w:val="0"/>
        <w:adjustRightInd w:val="0"/>
        <w:ind w:firstLine="567"/>
        <w:jc w:val="both"/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lang w:eastAsia="ru-RU"/>
        </w:rPr>
      </w:pPr>
      <w:r w:rsidRPr="003A05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1687" cy="795338"/>
            <wp:effectExtent l="19050" t="0" r="4763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7" cy="79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506"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A050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3A0506">
        <w:rPr>
          <w:rFonts w:ascii="Times New Roman" w:hAnsi="Times New Roman" w:cs="Times New Roman"/>
          <w:bCs/>
          <w:sz w:val="24"/>
          <w:szCs w:val="24"/>
        </w:rPr>
        <w:t>количество</w:t>
      </w:r>
      <w:proofErr w:type="gramEnd"/>
      <w:r w:rsidRPr="003A0506">
        <w:rPr>
          <w:rFonts w:ascii="Times New Roman" w:hAnsi="Times New Roman" w:cs="Times New Roman"/>
          <w:bCs/>
          <w:sz w:val="24"/>
          <w:szCs w:val="24"/>
        </w:rPr>
        <w:t xml:space="preserve"> товара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Cs/>
          <w:sz w:val="24"/>
          <w:szCs w:val="24"/>
        </w:rPr>
        <w:t>Р – цена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Cs/>
          <w:sz w:val="24"/>
          <w:szCs w:val="24"/>
        </w:rPr>
        <w:t>∆</w:t>
      </w:r>
      <w:r w:rsidRPr="003A0506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3A0506">
        <w:rPr>
          <w:rFonts w:ascii="Times New Roman" w:hAnsi="Times New Roman" w:cs="Times New Roman"/>
          <w:bCs/>
          <w:sz w:val="24"/>
          <w:szCs w:val="24"/>
        </w:rPr>
        <w:t xml:space="preserve"> и ∆Р – изменения в объеме товара и его цене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/>
          <w:bCs/>
          <w:sz w:val="24"/>
          <w:szCs w:val="24"/>
        </w:rPr>
        <w:t xml:space="preserve">Графики спроса с различной эластичностью по цене 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1787" cy="3727450"/>
            <wp:effectExtent l="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11787" cy="3727450"/>
                      <a:chOff x="785813" y="2916238"/>
                      <a:chExt cx="5411787" cy="3727450"/>
                    </a:xfrm>
                  </a:grpSpPr>
                  <a:grpSp>
                    <a:nvGrpSpPr>
                      <a:cNvPr id="14341" name="Группа 28"/>
                      <a:cNvGrpSpPr>
                        <a:grpSpLocks/>
                      </a:cNvGrpSpPr>
                    </a:nvGrpSpPr>
                    <a:grpSpPr bwMode="auto">
                      <a:xfrm>
                        <a:off x="785813" y="2916238"/>
                        <a:ext cx="5411787" cy="3727450"/>
                        <a:chOff x="785786" y="2714620"/>
                        <a:chExt cx="5412256" cy="3726918"/>
                      </a:xfrm>
                    </a:grpSpPr>
                    <a:cxnSp>
                      <a:nvCxnSpPr>
                        <a:cNvPr id="6" name="Прямая со стрелкой 5"/>
                        <a:cNvCxnSpPr/>
                      </a:nvCxnSpPr>
                      <a:spPr>
                        <a:xfrm rot="5400000" flipH="1" flipV="1">
                          <a:off x="-500634" y="4501096"/>
                          <a:ext cx="3142801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/>
                      </a:nvCxnSpPr>
                      <a:spPr>
                        <a:xfrm>
                          <a:off x="1071561" y="6071703"/>
                          <a:ext cx="4929614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345" name="Text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5786" y="2714620"/>
                          <a:ext cx="303288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>
                                <a:latin typeface="Calibri" pitchFamily="34" charset="0"/>
                              </a:rPr>
                              <a:t>Р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46" name="Text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7884" y="6072206"/>
                          <a:ext cx="340158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Q</a:t>
                            </a:r>
                            <a:endParaRPr lang="ru-RU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 rot="5400000">
                          <a:off x="1750595" y="4393161"/>
                          <a:ext cx="278566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>
                          <a:off x="1214448" y="4357447"/>
                          <a:ext cx="42151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>
                          <a:off x="1571666" y="3143184"/>
                          <a:ext cx="3214967" cy="242852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>
                          <a:off x="1428779" y="3786029"/>
                          <a:ext cx="3715072" cy="12142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rot="16200000" flipH="1">
                          <a:off x="1893458" y="3750176"/>
                          <a:ext cx="2571383" cy="12145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352" name="Text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14678" y="3071810"/>
                          <a:ext cx="676788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E</a:t>
                            </a:r>
                            <a:r>
                              <a:rPr lang="en-US" baseline="30000">
                                <a:latin typeface="Calibri" pitchFamily="34" charset="0"/>
                              </a:rPr>
                              <a:t>D</a:t>
                            </a:r>
                            <a:r>
                              <a:rPr lang="en-US">
                                <a:latin typeface="Calibri" pitchFamily="34" charset="0"/>
                              </a:rPr>
                              <a:t> =0</a:t>
                            </a:r>
                            <a:endParaRPr lang="ru-RU" baseline="30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3" name="Text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9256" y="4143380"/>
                          <a:ext cx="756938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E</a:t>
                            </a:r>
                            <a:r>
                              <a:rPr lang="en-US" baseline="30000">
                                <a:latin typeface="Calibri" pitchFamily="34" charset="0"/>
                              </a:rPr>
                              <a:t>D</a:t>
                            </a:r>
                            <a:r>
                              <a:rPr lang="en-US">
                                <a:latin typeface="Calibri" pitchFamily="34" charset="0"/>
                              </a:rPr>
                              <a:t> =∞</a:t>
                            </a:r>
                            <a:endParaRPr lang="ru-RU" baseline="30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4" name="Text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28197" y="4857760"/>
                          <a:ext cx="729687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E</a:t>
                            </a:r>
                            <a:r>
                              <a:rPr lang="en-US" baseline="30000">
                                <a:latin typeface="Calibri" pitchFamily="34" charset="0"/>
                              </a:rPr>
                              <a:t>D</a:t>
                            </a:r>
                            <a:r>
                              <a:rPr lang="en-US">
                                <a:latin typeface="Calibri" pitchFamily="34" charset="0"/>
                              </a:rPr>
                              <a:t> &gt; 1</a:t>
                            </a:r>
                            <a:endParaRPr lang="ru-RU" baseline="30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5" name="Text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7752" y="5429264"/>
                          <a:ext cx="729687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E</a:t>
                            </a:r>
                            <a:r>
                              <a:rPr lang="en-US" baseline="30000">
                                <a:latin typeface="Calibri" pitchFamily="34" charset="0"/>
                              </a:rPr>
                              <a:t>D</a:t>
                            </a:r>
                            <a:r>
                              <a:rPr lang="en-US">
                                <a:latin typeface="Calibri" pitchFamily="34" charset="0"/>
                              </a:rPr>
                              <a:t> =</a:t>
                            </a:r>
                            <a:r>
                              <a:rPr lang="ru-RU">
                                <a:latin typeface="Calibri" pitchFamily="34" charset="0"/>
                              </a:rPr>
                              <a:t> 1</a:t>
                            </a:r>
                            <a:endParaRPr lang="ru-RU" baseline="30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6" name="Text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00430" y="5500702"/>
                          <a:ext cx="1015021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0 &lt;E</a:t>
                            </a:r>
                            <a:r>
                              <a:rPr lang="en-US" baseline="30000">
                                <a:latin typeface="Calibri" pitchFamily="34" charset="0"/>
                              </a:rPr>
                              <a:t>D</a:t>
                            </a:r>
                            <a:r>
                              <a:rPr lang="en-US">
                                <a:latin typeface="Calibri" pitchFamily="34" charset="0"/>
                              </a:rPr>
                              <a:t> &lt; 1</a:t>
                            </a:r>
                            <a:endParaRPr lang="ru-RU" baseline="30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/>
          <w:bCs/>
          <w:sz w:val="24"/>
          <w:szCs w:val="24"/>
        </w:rPr>
        <w:t xml:space="preserve">Значения </w:t>
      </w:r>
      <w:r w:rsidRPr="003A050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3A050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D</w:t>
      </w:r>
      <w:r w:rsidRPr="003A0506">
        <w:rPr>
          <w:rFonts w:ascii="Times New Roman" w:hAnsi="Times New Roman" w:cs="Times New Roman"/>
          <w:b/>
          <w:bCs/>
          <w:sz w:val="24"/>
          <w:szCs w:val="24"/>
        </w:rPr>
        <w:t xml:space="preserve">  принимаются</w:t>
      </w:r>
      <w:r w:rsidRPr="003A05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/>
          <w:bCs/>
          <w:sz w:val="24"/>
          <w:szCs w:val="24"/>
        </w:rPr>
        <w:t xml:space="preserve">в абсолютном значении </w:t>
      </w:r>
    </w:p>
    <w:p w:rsidR="003A0506" w:rsidRP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506">
        <w:rPr>
          <w:rFonts w:ascii="Times New Roman" w:hAnsi="Times New Roman" w:cs="Times New Roman"/>
          <w:b/>
          <w:bCs/>
          <w:sz w:val="24"/>
          <w:szCs w:val="24"/>
        </w:rPr>
        <w:lastRenderedPageBreak/>
        <w:t>(по модулю)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следующие ситуации: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0. Кривая спроса вертикальная. Спрос абсолютно не чувствителен к цене, как бы она не менялась, спрос будет постоянным. Это абсолютно неэластичный спрос. Пример – товары первой необходимости. 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∞. Кривая спроса горизонтальная. Спрос абсолютно эластичен, чувствителен к малейшему изменению цены – любое сколь угодно малое повышение цены приводит к падению спроса до 0, и наоборот. Пример – ценные бумаги. </w:t>
      </w:r>
    </w:p>
    <w:p w:rsidR="003A0506" w:rsidRDefault="003A0506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1. </w:t>
      </w:r>
      <w:r w:rsidR="001B5F7D">
        <w:rPr>
          <w:rFonts w:ascii="Times New Roman" w:hAnsi="Times New Roman" w:cs="Times New Roman"/>
          <w:sz w:val="24"/>
          <w:szCs w:val="24"/>
        </w:rPr>
        <w:t xml:space="preserve">Единичный (унитарный) спрос. </w:t>
      </w:r>
      <w:r>
        <w:rPr>
          <w:rFonts w:ascii="Times New Roman" w:hAnsi="Times New Roman" w:cs="Times New Roman"/>
          <w:sz w:val="24"/>
          <w:szCs w:val="24"/>
        </w:rPr>
        <w:t>При изменении цены на товар на 1%</w:t>
      </w:r>
      <w:r w:rsidR="001B5F7D">
        <w:rPr>
          <w:rFonts w:ascii="Times New Roman" w:hAnsi="Times New Roman" w:cs="Times New Roman"/>
          <w:sz w:val="24"/>
          <w:szCs w:val="24"/>
        </w:rPr>
        <w:t xml:space="preserve">, спрос меняется ровно на 1%.  Пример – транспортные услуги. </w:t>
      </w:r>
    </w:p>
    <w:p w:rsidR="001B5F7D" w:rsidRDefault="001B5F7D" w:rsidP="003A0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7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Эластичный спрос. При изменении цены на 1%, спрос изменится более чем на 1%. 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Пример – предметы роскоши, дорогие путевки. 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1B5F7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1B5F7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1. Неэластичный спрос. При изменении цены на 1%, спрос меняется менее чем на 1%. Пример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труднозаменяемые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товары (хлеб, топливо), товары постоянного потребления, цена которых незначительна для семейного бюджета (зубная паста). 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13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>ФАКТОРЫ, ВЛИЯЮЩИЕ НА ЭЛАСТИЧНОСТЬ СПРОСА</w:t>
      </w: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 xml:space="preserve">►Наличие у товара заменителей (субститутов) </w:t>
      </w:r>
      <w:r>
        <w:rPr>
          <w:rFonts w:ascii="Times New Roman" w:hAnsi="Times New Roman" w:cs="Times New Roman"/>
          <w:b/>
          <w:bCs/>
          <w:sz w:val="24"/>
          <w:szCs w:val="24"/>
        </w:rPr>
        <w:t>– чем их больше, тем выше эластичность</w:t>
      </w: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 xml:space="preserve">►Возможности использования  данного товара </w:t>
      </w:r>
      <w:r>
        <w:rPr>
          <w:rFonts w:ascii="Times New Roman" w:hAnsi="Times New Roman" w:cs="Times New Roman"/>
          <w:b/>
          <w:bCs/>
          <w:sz w:val="24"/>
          <w:szCs w:val="24"/>
        </w:rPr>
        <w:t>– чем их больше, тем выше эластичность</w:t>
      </w: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>►Важность (насущность) удовлетворения потребности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чем насущнее потребность, тем ниже эластичность спроса на этот товар (товары, потребление которых может быть отложено, цветы на 8 марта, елки к НГ)</w:t>
      </w: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 xml:space="preserve">► Ограниченность доступа к товару </w:t>
      </w:r>
      <w:r>
        <w:rPr>
          <w:rFonts w:ascii="Times New Roman" w:hAnsi="Times New Roman" w:cs="Times New Roman"/>
          <w:b/>
          <w:bCs/>
          <w:sz w:val="24"/>
          <w:szCs w:val="24"/>
        </w:rPr>
        <w:t>– чем более ограничен доступ к товару, тем ниже эластичность на него (в ситуации дефицита)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 xml:space="preserve">►Степень агрегирования товара </w:t>
      </w:r>
      <w:r>
        <w:rPr>
          <w:rFonts w:ascii="Times New Roman" w:hAnsi="Times New Roman" w:cs="Times New Roman"/>
          <w:b/>
          <w:bCs/>
          <w:sz w:val="24"/>
          <w:szCs w:val="24"/>
        </w:rPr>
        <w:t>(чем более агрегирован товар, тем ниже эластичность)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 :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Рассмотрим перечень товаров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докторская колбаса из элитного магазина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докторская колбаса из ближайшего супермаркета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вареная колбаса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мясопродукты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5) еда </w:t>
      </w:r>
    </w:p>
    <w:p w:rsidR="001B5F7D" w:rsidRPr="001B5F7D" w:rsidRDefault="00B07F24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Агрегированность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это принадлежность к какой либо товарной группе, здесь она возрастает от пункта 1 к пункту 5, спрос на абсолютно агрегированную группу ЕДА абсолютно неэластичен. </w:t>
      </w: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7D">
        <w:rPr>
          <w:rFonts w:ascii="Times New Roman" w:hAnsi="Times New Roman" w:cs="Times New Roman"/>
          <w:b/>
          <w:bCs/>
          <w:sz w:val="24"/>
          <w:szCs w:val="24"/>
        </w:rPr>
        <w:t xml:space="preserve"> ► Временной фактор </w:t>
      </w:r>
      <w:r w:rsidR="00B07F24">
        <w:rPr>
          <w:rFonts w:ascii="Times New Roman" w:hAnsi="Times New Roman" w:cs="Times New Roman"/>
          <w:b/>
          <w:bCs/>
          <w:sz w:val="24"/>
          <w:szCs w:val="24"/>
        </w:rPr>
        <w:t xml:space="preserve">– спрос становится более эластичным со временем. </w:t>
      </w:r>
    </w:p>
    <w:p w:rsidR="00B07F24" w:rsidRDefault="00B07F24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F24" w:rsidRDefault="00B07F24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14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>Правило 1: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В случае неэластичного спроса производителю выгодно повышать цену 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товара, так как  в этом случае его выручка увеличивается 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>Правило 2: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>В случае эластичного спроса производителю выгодно понижение цены,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так как в этом случае выручка будет возрастать 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F24" w:rsidRPr="001B5F7D" w:rsidRDefault="00B07F24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Pr="001B5F7D" w:rsidRDefault="001B5F7D" w:rsidP="001B5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7D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F2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2) эластичность спроса по доходу - </w:t>
      </w:r>
      <w:r w:rsidRPr="00B07F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степень чувствительности  спроса на товар к изменению доходов потребителей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947737"/>
            <wp:effectExtent l="19050" t="0" r="952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4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gramStart"/>
      <w:r w:rsidRPr="00B07F24"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proofErr w:type="gramEnd"/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 товара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>∆</w:t>
      </w:r>
      <w:r w:rsidRPr="00B07F24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 – изменение в объеме товара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 – </w:t>
      </w:r>
      <w:proofErr w:type="gramStart"/>
      <w:r w:rsidRPr="00B07F24">
        <w:rPr>
          <w:rFonts w:ascii="Times New Roman" w:hAnsi="Times New Roman" w:cs="Times New Roman"/>
          <w:b/>
          <w:bCs/>
          <w:sz w:val="24"/>
          <w:szCs w:val="24"/>
        </w:rPr>
        <w:t>доход</w:t>
      </w:r>
      <w:proofErr w:type="gramEnd"/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b/>
          <w:bCs/>
          <w:sz w:val="24"/>
          <w:szCs w:val="24"/>
        </w:rPr>
        <w:t>∆</w:t>
      </w:r>
      <w:r w:rsidRPr="00B07F24">
        <w:rPr>
          <w:rFonts w:ascii="Times New Roman" w:hAnsi="Times New Roman" w:cs="Times New Roman"/>
          <w:b/>
          <w:bCs/>
          <w:sz w:val="24"/>
          <w:szCs w:val="24"/>
          <w:lang w:val="en-US"/>
        </w:rPr>
        <w:t>J</w:t>
      </w:r>
      <w:r w:rsidRPr="00B07F24">
        <w:rPr>
          <w:rFonts w:ascii="Times New Roman" w:hAnsi="Times New Roman" w:cs="Times New Roman"/>
          <w:b/>
          <w:bCs/>
          <w:sz w:val="24"/>
          <w:szCs w:val="24"/>
        </w:rPr>
        <w:t xml:space="preserve"> – изменение дохода 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66824" cy="5029200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45150" cy="8126412"/>
                      <a:chOff x="785813" y="103188"/>
                      <a:chExt cx="5645150" cy="8126412"/>
                    </a:xfrm>
                  </a:grpSpPr>
                  <a:grpSp>
                    <a:nvGrpSpPr>
                      <a:cNvPr id="17415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785813" y="103188"/>
                        <a:ext cx="5645150" cy="8126412"/>
                        <a:chOff x="495" y="65"/>
                        <a:chExt cx="3556" cy="5119"/>
                      </a:xfrm>
                    </a:grpSpPr>
                    <a:cxnSp>
                      <a:nvCxnSpPr>
                        <a:cNvPr id="9" name="Прямая со стрелкой 8"/>
                        <a:cNvCxnSpPr/>
                      </a:nvCxnSpPr>
                      <a:spPr>
                        <a:xfrm rot="5400000" flipH="1" flipV="1">
                          <a:off x="-91" y="2610"/>
                          <a:ext cx="1801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Прямая со стрелкой 10"/>
                        <a:cNvCxnSpPr/>
                      </a:nvCxnSpPr>
                      <a:spPr>
                        <a:xfrm flipV="1">
                          <a:off x="810" y="3465"/>
                          <a:ext cx="3150" cy="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418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" y="1665"/>
                          <a:ext cx="20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 b="1">
                                <a:latin typeface="Calibri" pitchFamily="34" charset="0"/>
                              </a:rPr>
                              <a:t>J</a:t>
                            </a:r>
                            <a:endParaRPr lang="ru-RU" b="1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19" name="Text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36" y="3465"/>
                          <a:ext cx="215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 b="1">
                                <a:latin typeface="Calibri" pitchFamily="34" charset="0"/>
                              </a:rPr>
                              <a:t>Q</a:t>
                            </a:r>
                            <a:endParaRPr lang="ru-RU" b="1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Полилиния 16"/>
                        <a:cNvSpPr/>
                      </a:nvSpPr>
                      <a:spPr>
                        <a:xfrm>
                          <a:off x="901" y="2025"/>
                          <a:ext cx="674" cy="1170"/>
                        </a:xfrm>
                        <a:custGeom>
                          <a:avLst/>
                          <a:gdLst>
                            <a:gd name="connsiteX0" fmla="*/ 0 w 1627238"/>
                            <a:gd name="connsiteY0" fmla="*/ 0 h 1622323"/>
                            <a:gd name="connsiteX1" fmla="*/ 1607574 w 1627238"/>
                            <a:gd name="connsiteY1" fmla="*/ 870155 h 1622323"/>
                            <a:gd name="connsiteX2" fmla="*/ 117987 w 1627238"/>
                            <a:gd name="connsiteY2" fmla="*/ 1622323 h 1622323"/>
                            <a:gd name="connsiteX3" fmla="*/ 117987 w 1627238"/>
                            <a:gd name="connsiteY3" fmla="*/ 1622323 h 1622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27238" h="1622323">
                              <a:moveTo>
                                <a:pt x="0" y="0"/>
                              </a:moveTo>
                              <a:cubicBezTo>
                                <a:pt x="793955" y="299884"/>
                                <a:pt x="1587910" y="599768"/>
                                <a:pt x="1607574" y="870155"/>
                              </a:cubicBezTo>
                              <a:cubicBezTo>
                                <a:pt x="1627238" y="1140542"/>
                                <a:pt x="117987" y="1622323"/>
                                <a:pt x="117987" y="1622323"/>
                              </a:cubicBezTo>
                              <a:lnTo>
                                <a:pt x="117987" y="1622323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8" name="Дуга 17"/>
                        <a:cNvSpPr/>
                      </a:nvSpPr>
                      <a:spPr>
                        <a:xfrm rot="6396054">
                          <a:off x="-97" y="1061"/>
                          <a:ext cx="3262" cy="1271"/>
                        </a:xfrm>
                        <a:prstGeom prst="arc">
                          <a:avLst>
                            <a:gd name="adj1" fmla="val 15396288"/>
                            <a:gd name="adj2" fmla="val 21206601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dirty="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Дуга 19"/>
                        <a:cNvSpPr/>
                      </a:nvSpPr>
                      <a:spPr>
                        <a:xfrm rot="18227415">
                          <a:off x="524" y="2919"/>
                          <a:ext cx="3261" cy="1270"/>
                        </a:xfrm>
                        <a:prstGeom prst="arc">
                          <a:avLst>
                            <a:gd name="adj1" fmla="val 15396288"/>
                            <a:gd name="adj2" fmla="val 21206601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26" name="Прямая соединительная линия 25"/>
                        <a:cNvCxnSpPr>
                          <a:stCxn id="17" idx="1"/>
                        </a:cNvCxnSpPr>
                      </a:nvCxnSpPr>
                      <a:spPr>
                        <a:xfrm flipH="1">
                          <a:off x="765" y="2653"/>
                          <a:ext cx="802" cy="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424" name="Text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5" y="2520"/>
                          <a:ext cx="237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 b="1">
                                <a:latin typeface="Calibri" pitchFamily="34" charset="0"/>
                              </a:rPr>
                              <a:t>J0</a:t>
                            </a:r>
                            <a:endParaRPr lang="ru-RU" b="1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25" name="Text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05" y="1620"/>
                          <a:ext cx="195" cy="2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 b="1">
                                <a:latin typeface="Calibri" pitchFamily="34" charset="0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26" name="Text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45" y="1800"/>
                          <a:ext cx="195" cy="2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 b="1">
                                <a:latin typeface="Calibri" pitchFamily="34" charset="0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27" name="Text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025"/>
                          <a:ext cx="195" cy="2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 b="1">
                                <a:latin typeface="Calibri" pitchFamily="34" charset="0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1. </w:t>
      </w:r>
      <w:r w:rsidRPr="00B07F24">
        <w:rPr>
          <w:rFonts w:ascii="Times New Roman" w:hAnsi="Times New Roman" w:cs="Times New Roman"/>
          <w:sz w:val="24"/>
          <w:szCs w:val="24"/>
        </w:rPr>
        <w:t>0&lt;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B07F24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 xml:space="preserve">. Спрос неэластичен по доходу. Доход растет на 1%, спрос – менее чем на 1% . Пример – товары первой необходимости. 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B07F24">
        <w:rPr>
          <w:rFonts w:ascii="Times New Roman" w:hAnsi="Times New Roman" w:cs="Times New Roman"/>
          <w:sz w:val="24"/>
          <w:szCs w:val="24"/>
        </w:rPr>
        <w:t>&gt;1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Спрос эластичен по доходу. Доход растет на 1%, спрос – более чем на 1%. Пример – предметы роскоши. 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3. </w:t>
      </w:r>
      <w:r w:rsidRPr="00B07F24">
        <w:rPr>
          <w:rFonts w:ascii="Times New Roman" w:hAnsi="Times New Roman" w:cs="Times New Roman"/>
          <w:sz w:val="24"/>
          <w:szCs w:val="24"/>
        </w:rPr>
        <w:t>0&lt;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B07F24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 xml:space="preserve"> при доходе меньше определенного уровня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07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Pr="00B07F24">
        <w:rPr>
          <w:rFonts w:ascii="Times New Roman" w:hAnsi="Times New Roman" w:cs="Times New Roman"/>
          <w:sz w:val="24"/>
          <w:szCs w:val="24"/>
        </w:rPr>
        <w:t>&lt;</w:t>
      </w:r>
      <w:r w:rsidR="007C3E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при доходе выше уровня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07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Пример – низкокачественные товары, которые могут быть заменены при росте дохода например выше прожиточного минимума. </w:t>
      </w:r>
    </w:p>
    <w:p w:rsid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F24" w:rsidRPr="00B07F24" w:rsidRDefault="00B07F24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24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B07F24" w:rsidRDefault="00B07F24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перекрестная эластичность - </w:t>
      </w:r>
      <w:r w:rsidRPr="007C3E97">
        <w:rPr>
          <w:rFonts w:ascii="Times New Roman" w:hAnsi="Times New Roman" w:cs="Times New Roman"/>
          <w:b/>
          <w:bCs/>
        </w:rPr>
        <w:t>чувствительность спроса н</w:t>
      </w:r>
      <w:r w:rsidRPr="007C3E97">
        <w:rPr>
          <w:rFonts w:ascii="Times New Roman" w:hAnsi="Times New Roman" w:cs="Times New Roman"/>
          <w:b/>
          <w:bCs/>
          <w:sz w:val="24"/>
          <w:szCs w:val="24"/>
        </w:rPr>
        <w:t>а один товар к  изменению цены на другой товар</w:t>
      </w:r>
    </w:p>
    <w:p w:rsidR="00B07F24" w:rsidRDefault="00B07F24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F2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82863" cy="1071563"/>
            <wp:effectExtent l="19050" t="0" r="7937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63" cy="10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C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1874" cy="4283242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16525" cy="5584825"/>
                      <a:chOff x="642938" y="500063"/>
                      <a:chExt cx="5216525" cy="5584825"/>
                    </a:xfrm>
                  </a:grpSpPr>
                  <a:grpSp>
                    <a:nvGrpSpPr>
                      <a:cNvPr id="16" name="Группа 15"/>
                      <a:cNvGrpSpPr/>
                    </a:nvGrpSpPr>
                    <a:grpSpPr>
                      <a:xfrm>
                        <a:off x="642938" y="500063"/>
                        <a:ext cx="5216525" cy="5584825"/>
                        <a:chOff x="642938" y="500063"/>
                        <a:chExt cx="5216525" cy="5584825"/>
                      </a:xfrm>
                    </a:grpSpPr>
                    <a:cxnSp>
                      <a:nvCxnSpPr>
                        <a:cNvPr id="7" name="Прямая со стрелкой 6"/>
                        <a:cNvCxnSpPr/>
                      </a:nvCxnSpPr>
                      <a:spPr>
                        <a:xfrm rot="5400000" flipH="1" flipV="1">
                          <a:off x="-430213" y="4214813"/>
                          <a:ext cx="3001963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 стрелкой 8"/>
                        <a:cNvCxnSpPr/>
                      </a:nvCxnSpPr>
                      <a:spPr>
                        <a:xfrm>
                          <a:off x="1071563" y="5715000"/>
                          <a:ext cx="4357687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rot="5400000">
                          <a:off x="1500187" y="4143376"/>
                          <a:ext cx="2428875" cy="0"/>
                        </a:xfrm>
                        <a:prstGeom prst="line">
                          <a:avLst/>
                        </a:prstGeom>
                      </a:spPr>
                      <a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Дуга 16"/>
                        <a:cNvSpPr/>
                      </a:nvSpPr>
                      <a:spPr>
                        <a:xfrm rot="11572374">
                          <a:off x="1816100" y="1120775"/>
                          <a:ext cx="3440113" cy="3830638"/>
                        </a:xfrm>
                        <a:prstGeom prst="arc">
                          <a:avLst>
                            <a:gd name="adj1" fmla="val 15579029"/>
                            <a:gd name="adj2" fmla="val 0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0" name="Дуга 19"/>
                        <a:cNvSpPr/>
                      </a:nvSpPr>
                      <a:spPr>
                        <a:xfrm rot="5400000">
                          <a:off x="-178593" y="1321594"/>
                          <a:ext cx="4500562" cy="2857500"/>
                        </a:xfrm>
                        <a:prstGeom prst="arc">
                          <a:avLst>
                            <a:gd name="adj1" fmla="val 16200000"/>
                            <a:gd name="adj2" fmla="val 23137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8441" name="Text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00188" y="2571750"/>
                          <a:ext cx="301625" cy="3698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>
                                <a:latin typeface="Calibri" pitchFamily="34" charset="0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2" name="Text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75" y="2643188"/>
                          <a:ext cx="301625" cy="3698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>
                                <a:latin typeface="Calibri" pitchFamily="34" charset="0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3" name="Text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6063" y="2786063"/>
                          <a:ext cx="301625" cy="3698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>
                                <a:latin typeface="Calibri" pitchFamily="34" charset="0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4" name="Text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4375" y="2786063"/>
                          <a:ext cx="387350" cy="36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ru-RU">
                                <a:latin typeface="Calibri" pitchFamily="34" charset="0"/>
                              </a:rPr>
                              <a:t>Р</a:t>
                            </a:r>
                            <a:r>
                              <a:rPr lang="ru-RU" baseline="-25000">
                                <a:latin typeface="Calibri" pitchFamily="34" charset="0"/>
                              </a:rPr>
                              <a:t>В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5" name="Text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9250" y="5715000"/>
                          <a:ext cx="430213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n-US">
                                <a:latin typeface="Calibri" pitchFamily="34" charset="0"/>
                              </a:rPr>
                              <a:t>Q</a:t>
                            </a:r>
                            <a:r>
                              <a:rPr lang="en-US" baseline="-25000">
                                <a:latin typeface="Calibri" pitchFamily="34" charset="0"/>
                              </a:rPr>
                              <a:t>A</a:t>
                            </a:r>
                            <a:endParaRPr lang="ru-RU" baseline="-2500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07F24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613CA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0. Отрицательная перекрестная эластичность. С ростом цены на товар В спрос на товар А сокращается и наоборот. Пример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взаимодополняемые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товары. </w:t>
      </w:r>
    </w:p>
    <w:p w:rsid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613CA8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0. Положительная перекрестная эластичность. Если цена на товар А растет, то спрос на товар В также растет (переключение с одного товара на другой). Пример – </w:t>
      </w:r>
      <w:r w:rsidR="005F564A">
        <w:rPr>
          <w:rFonts w:ascii="Times New Roman" w:hAnsi="Times New Roman" w:cs="Times New Roman"/>
          <w:sz w:val="24"/>
          <w:szCs w:val="24"/>
        </w:rPr>
        <w:t>взаимозаменяемые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товары (субституты). </w:t>
      </w:r>
    </w:p>
    <w:p w:rsid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3. Ех=0. Нулевая перекрестная эластичность. Независимые товары. </w:t>
      </w:r>
    </w:p>
    <w:p w:rsid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17. </w:t>
      </w:r>
    </w:p>
    <w:p w:rsidR="00613CA8" w:rsidRPr="00613CA8" w:rsidRDefault="00613CA8" w:rsidP="00B07F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CA8">
        <w:rPr>
          <w:rFonts w:ascii="Times New Roman" w:hAnsi="Times New Roman" w:cs="Times New Roman"/>
          <w:sz w:val="24"/>
          <w:szCs w:val="24"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.3pt" o:ole="">
            <v:imagedata r:id="rId13" o:title=""/>
          </v:shape>
          <o:OLEObject Type="Embed" ProgID="PowerPoint.Slide.12" ShapeID="_x0000_i1025" DrawAspect="Content" ObjectID="_1707318333" r:id="rId14"/>
        </w:object>
      </w:r>
    </w:p>
    <w:p w:rsidR="00B07F24" w:rsidRDefault="00613CA8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Кривая 1. Е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=0. Мгновенный рыночный период. Товар уже произведен, </w:t>
      </w:r>
      <w:r w:rsidR="00907AF1">
        <w:rPr>
          <w:rFonts w:ascii="Times New Roman" w:hAnsi="Times New Roman" w:cs="Times New Roman"/>
          <w:sz w:val="24"/>
          <w:szCs w:val="24"/>
        </w:rPr>
        <w:t xml:space="preserve">предложение постоянно, абсолютно неэластично. </w:t>
      </w:r>
    </w:p>
    <w:p w:rsidR="00907AF1" w:rsidRDefault="00613CA8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Кривая 2. Е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3CA8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 w:rsidR="00907AF1">
        <w:rPr>
          <w:rFonts w:ascii="Times New Roman" w:hAnsi="Times New Roman" w:cs="Times New Roman"/>
          <w:sz w:val="24"/>
          <w:szCs w:val="24"/>
        </w:rPr>
        <w:t>Краткосрочный период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7AF1">
        <w:rPr>
          <w:rFonts w:ascii="Times New Roman" w:hAnsi="Times New Roman" w:cs="Times New Roman"/>
          <w:sz w:val="24"/>
          <w:szCs w:val="24"/>
        </w:rPr>
        <w:t>предложение может подстраиваться под спрос (используя имеющиеся резервы), изменяя только цену. Поэтому эластичность меняется с положительной на нулевую.</w:t>
      </w:r>
    </w:p>
    <w:p w:rsidR="00613CA8" w:rsidRDefault="00907AF1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Кривая 3. </w:t>
      </w:r>
      <w:r w:rsidR="00613CA8">
        <w:rPr>
          <w:rFonts w:ascii="Times New Roman" w:hAnsi="Times New Roman" w:cs="Times New Roman"/>
          <w:sz w:val="24"/>
          <w:szCs w:val="24"/>
        </w:rPr>
        <w:t>Предприятие формирует новый спрос, осуществляет перестройку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, переоборудование, предложение расширяется, эластичность максимальна. </w:t>
      </w:r>
    </w:p>
    <w:p w:rsidR="00907AF1" w:rsidRDefault="00907AF1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AF1" w:rsidRPr="00613CA8" w:rsidRDefault="00907AF1" w:rsidP="00B07F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Т.о. Эластичность предложения по цене увеличивается во времени. </w:t>
      </w:r>
    </w:p>
    <w:sectPr w:rsidR="00907AF1" w:rsidRPr="00613CA8" w:rsidSect="001E0BD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B5C"/>
    <w:rsid w:val="000C1AEB"/>
    <w:rsid w:val="001B5F7D"/>
    <w:rsid w:val="001E0BD5"/>
    <w:rsid w:val="00323159"/>
    <w:rsid w:val="003A0506"/>
    <w:rsid w:val="003E2B5C"/>
    <w:rsid w:val="005F564A"/>
    <w:rsid w:val="00613CA8"/>
    <w:rsid w:val="007C3E97"/>
    <w:rsid w:val="00907AF1"/>
    <w:rsid w:val="009542BA"/>
    <w:rsid w:val="00A616F0"/>
    <w:rsid w:val="00AD07B2"/>
    <w:rsid w:val="00B07F24"/>
    <w:rsid w:val="00B273A8"/>
    <w:rsid w:val="00B41718"/>
    <w:rsid w:val="00C40788"/>
    <w:rsid w:val="00C7593A"/>
    <w:rsid w:val="00D632A3"/>
    <w:rsid w:val="00EA388D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Svetlana Teslova</cp:lastModifiedBy>
  <cp:revision>7</cp:revision>
  <dcterms:created xsi:type="dcterms:W3CDTF">2019-09-27T08:41:00Z</dcterms:created>
  <dcterms:modified xsi:type="dcterms:W3CDTF">2022-02-25T12:19:00Z</dcterms:modified>
</cp:coreProperties>
</file>