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CE" w:rsidRPr="001456CE" w:rsidRDefault="001456CE" w:rsidP="001456CE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456CE">
        <w:rPr>
          <w:rFonts w:ascii="Times New Roman" w:hAnsi="Times New Roman" w:cs="Times New Roman"/>
          <w:b/>
          <w:color w:val="000000"/>
          <w:sz w:val="28"/>
          <w:szCs w:val="28"/>
        </w:rPr>
        <w:t>ЛЕКЦИЯ 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вспомогательного хозяйства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эксплуатации и ремонта машин, зданий и с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оружений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Состояние технологического оборудования, здании и сооружений в значитель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ной степени влияет на производ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тельность труда, себестоимость и качество продукции.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Затраты на эксплуатацию и ремонт ежегодно планируются в пределах: обору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 - до 25%, зданий и соор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жений - до 3% первоначальной стоимости.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 задачи эксплуатационных и ремонтных служб вх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дят поддержание оборудо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вания, зданий в состоянии высокой эксплуатационной готовности, изучение условий эксплуатации орудий прои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водства и планирование сроков ремонта, предупреждение износа оборудования зданий и сооруж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Основой работы ремонтно-механических цехов и строительно-ремонтных служб является система планово-предупредительных ремонтов (ППР)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Система ППР оборудования представляет собой совокупность технических и организацио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ных мероприятий.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Технические мероприятия: монтаж и демонтаж машин, подготовка их к работе, проведение технического 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служивания и ремонта.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мероприятия: планирование 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циональной работы машин с установлением режимов периодичности те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нического обслуживания и ремонта.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Система ППР основана. на периодическом чередовании через определенное количество 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сов работы машины техн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ческих обслуживании (ТО) и ремонтов.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ТО проводится с целью созданий нормативных условий работы машины во время эксплуат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ции путем поддержания работ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способности деталей и узлов. ТО ма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шин -это непрерывный процесс ухода за ними на протяжении всего цикла эксп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луатации.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Оборудование на предприятиях строительных материалов подвергается еже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сменному техо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служиванию и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риодическому техническому обслуживанию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Ежесменное техническое обслуживание выполняется регулярно перед началом и окончанием работы машины. В состав обслуживания входят: осмотр, смазка, заправка и обкатка; проверка кре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ления узлов и т.п.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Периодическое обслуживание ПТО в зависимости от характера, объема работ и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ресурса м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шинами делится на ТО1, ТО2. ТОЗ.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ТО1: проводятся работы по диагностике и регулиро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ке узлов, замене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уппотнений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, тросов и…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2:  дополняется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работами по замене изношенных деталей, мелкому ремонту узлов;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ТОЗ: ТО1 + ТО2 + выполняются дефекты функцион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рования машины и при необходимости производится тек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щий ремонт.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работ, которые должны выполняться при техобслуживании,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приводигсся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в инс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рукциях и руков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дствах по эксплуатации машин.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Ремонт оборудования представляет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собой  комплекс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восстановлению исправности,  работоспособности  или ресурсов машин, или их узлов.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 машин бывает двух видов: текущий и кап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тальный.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1)текущий ремонт (ТР) выполняется для обеспечения работоспособности отдельных деталей машин и сопровожд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ется работами по замене изношенных деталей со сроками службы, равными периодичности текущих ремонтов; в </w:t>
      </w:r>
      <w:proofErr w:type="spellStart"/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капитальный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 ремонтный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 период выполняются несколько ТР машин;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2) капитальный ремонт (КР) выполняется для восстановления исправности и ресурсов маш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ны. Капитальный ремонт машины - работа по полной разборке машины на узлы, замене или восст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новлению всех изношенных деталей, сборке и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опробовнию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машины.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техобслуживания и ремонта машин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регламентируются  нормативной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работкой машины межремонтным циклом, межремонтными и межотраслевыми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риодами.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Нормативная наработка - количество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моточасов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машины, которые должны быть ею отработаны до опр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деленного вида технического обслуживания или ремонта.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Межремонтный цикл - отрезок времени между двумя очередными капитальными ремонтами или между вводом и первым капитальным ремонтом.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Межремонтный период характеризует время между двумя очередными ремон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тами оборуд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Трудоемкость и сложность ремонта различного оборудования предопределяют категории, ремонтной сложности. За условную единицу ремонта сложности для всех видов оборудования 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нята условная машина, трудоемкость КР механической части которой равна 50 чел. часам, отнесе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ным к 5 разряду тарифной сетки сдельщика и 12 чел. часам для эле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тротехнического оборудования.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Ремонтные работы выполняются централизованным, децентрализованным смешанным сп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собами, в зависимости от мощности производства.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Централизованный способ применяется на небольших предприятиях, когда ре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монт оборуд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вания и ТО машин производятся силами ремонтно-механического цеха. Этот сп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соб применяется, когда цеха основного производства расп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лагают оборудо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ванием до 500 единиц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Наиболее рациональным считается применение це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трализованного способа на предприятии при общем количестве об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рудования, соответствующего 2000...3500 единиц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Децентрализованный способ используется на кру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ных предприятиях при общем количестве оборудования 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лее 5000 условных единиц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. В этом случае более рациональным является создание ремонтных служб при ка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дом цехе, которые производят все виды ремонтов и ТО оборудования, количество которого бо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лее 800 единиц.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Смешанный способ используют на предприятиях средней мощности с количе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ством оборуд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вания от 3000 до 5000 и в цехах, имеющих от 500 до 800 единиц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сокращения простоев оборудования в ремонте и обслуживании стали ис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зервирование быстроизнашивающихся деталей и узлов. Этот способ, когда по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лежащие ремонту узлы, детали и агрегаты снимаются и заменяются на резервные,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называется  агрегатным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ремо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том. Резервные узлы восстанавливаются на специализированных заводах.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Общее время простоя оборудования в ремонте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Тпр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определяется, как произве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дение нормат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ва простоя на единицу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Пс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ремонтосложности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меха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нической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Рм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электрич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ской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Рэ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частей машины: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Тпр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Пс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• (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Рм+Рэ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Трудоемкость ремонта машин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Т =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Тм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Рм+Тэ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Рэ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Тм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и Тэ -нормативы трудоемкости на ремонт об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рудования механической и элек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трической частей машин.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энергетического хозяйс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ва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 функции работников энергетического хозяйства входят: обеспечение предприятия всеми видами энергии; наблюдение за исправностью энергоустановок; планирование и проведение ремо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энергооборудования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; разработка и осуществление мероприятий по экономному расходов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нию электр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энергии, пара, сжатого воздуха и воды.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руководства энергетическим хозяйством на пре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приятии создается служба главного энергетика.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характеристики электросилового хозяйства 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пользуют различные технико-экономические показатели: 1) номинально установленная мощность силовых электродв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гателей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Рс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, технологических потребителей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и осветительных токоприемников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; 2) показатель использов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ния мощности «косинус фи»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(ф), характеризующей сдвиг фаз между напряжением и током, 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торый вызывается реактивной нагрузкой; 3) показатель использования мощности во времени (к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эффициент спроса Кс); 4) показа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электровооружености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труда - количество потребляемой эне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гии (кВт ч), делен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ное на число отработанных чел. -часов; 5) показатель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электровооруженности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бочих</w:t>
      </w:r>
    </w:p>
    <w:p w:rsidR="001456CE" w:rsidRPr="001456CE" w:rsidRDefault="001456CE" w:rsidP="001456C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ПЭР=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Рс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/Ч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где Ч -число рабочих в наиболее заполненную смену.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Организация работа внутризаводского транспорта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На предприятии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перемещение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грузов используется внутризаводской транспорт преры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ного и непрерывного действия.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К транспорту прерывного действия относятся автомобили, автокары, тележки, а к непреры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ному - конвейеры, трубопр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воды, ленточные и цепные транспортеры.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Внутризаводские перевозки осуществляются по двум схемам: 1) маятниковой 2) кольцевой.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Грузовым потоком называется процесс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перемещения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определенного количест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ва грузов в 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данном направлении между отдельными пунктами загрузки и выгрузки.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Основными технико-экономическими показателями внутризаводского транспорта, характ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ризующими степень его эффективности (кроме величины грузооборота и груз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потока), являются: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-коэффициент использования грузоподъемности транспортных средств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Nq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- масса одновременно перевозимых грузов, 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- грузоподъемность машины;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коэффициент использования пробега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/(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Lo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путь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проходимый машиной с грузом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Lo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– путь без груза;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коэффициент использования рабочего времени транспортом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ф/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Вк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Вф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- фактическое время работы,  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Вк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- календарное время работы;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-себестоимость перевозки 1 т груза.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jc w:val="center"/>
        <w:outlineLvl w:val="0"/>
        <w:rPr>
          <w:rFonts w:cs="Times New Roman"/>
          <w:i/>
          <w:sz w:val="28"/>
          <w:szCs w:val="28"/>
          <w:u w:val="single"/>
        </w:rPr>
      </w:pPr>
      <w:proofErr w:type="spellStart"/>
      <w:r w:rsidRPr="001456CE">
        <w:rPr>
          <w:rFonts w:cs="Times New Roman"/>
          <w:i/>
          <w:color w:val="000000"/>
          <w:sz w:val="28"/>
          <w:szCs w:val="28"/>
          <w:u w:val="single"/>
        </w:rPr>
        <w:t>Организаця</w:t>
      </w:r>
      <w:proofErr w:type="spellEnd"/>
      <w:r w:rsidRPr="001456CE">
        <w:rPr>
          <w:i/>
          <w:color w:val="000000"/>
          <w:sz w:val="28"/>
          <w:szCs w:val="28"/>
          <w:u w:val="single"/>
        </w:rPr>
        <w:t xml:space="preserve"> </w:t>
      </w:r>
      <w:r w:rsidRPr="001456CE">
        <w:rPr>
          <w:rFonts w:cs="Times New Roman"/>
          <w:i/>
          <w:color w:val="000000"/>
          <w:sz w:val="28"/>
          <w:szCs w:val="28"/>
          <w:u w:val="single"/>
        </w:rPr>
        <w:t>материально</w:t>
      </w:r>
      <w:r w:rsidRPr="001456CE">
        <w:rPr>
          <w:i/>
          <w:color w:val="000000"/>
          <w:sz w:val="28"/>
          <w:szCs w:val="28"/>
          <w:u w:val="single"/>
        </w:rPr>
        <w:t>-</w:t>
      </w:r>
      <w:r w:rsidRPr="001456CE">
        <w:rPr>
          <w:rFonts w:cs="Times New Roman"/>
          <w:i/>
          <w:color w:val="000000"/>
          <w:sz w:val="28"/>
          <w:szCs w:val="28"/>
          <w:u w:val="single"/>
        </w:rPr>
        <w:t>технического</w:t>
      </w:r>
      <w:r w:rsidRPr="001456CE">
        <w:rPr>
          <w:i/>
          <w:color w:val="000000"/>
          <w:sz w:val="28"/>
          <w:szCs w:val="28"/>
          <w:u w:val="single"/>
        </w:rPr>
        <w:t xml:space="preserve"> </w:t>
      </w:r>
      <w:r w:rsidRPr="001456CE">
        <w:rPr>
          <w:rFonts w:cs="Times New Roman"/>
          <w:i/>
          <w:color w:val="000000"/>
          <w:sz w:val="28"/>
          <w:szCs w:val="28"/>
          <w:u w:val="single"/>
        </w:rPr>
        <w:t>снабжения</w:t>
      </w:r>
      <w:r w:rsidRPr="001456CE">
        <w:rPr>
          <w:i/>
          <w:color w:val="000000"/>
          <w:sz w:val="28"/>
          <w:szCs w:val="28"/>
          <w:u w:val="single"/>
        </w:rPr>
        <w:t xml:space="preserve"> </w:t>
      </w:r>
      <w:r w:rsidRPr="001456CE">
        <w:rPr>
          <w:rFonts w:cs="Times New Roman"/>
          <w:i/>
          <w:color w:val="000000"/>
          <w:sz w:val="28"/>
          <w:szCs w:val="28"/>
          <w:u w:val="single"/>
        </w:rPr>
        <w:t>и</w:t>
      </w:r>
      <w:r w:rsidRPr="001456CE">
        <w:rPr>
          <w:i/>
          <w:color w:val="000000"/>
          <w:sz w:val="28"/>
          <w:szCs w:val="28"/>
          <w:u w:val="single"/>
        </w:rPr>
        <w:t xml:space="preserve"> </w:t>
      </w:r>
      <w:r w:rsidRPr="001456CE">
        <w:rPr>
          <w:rFonts w:cs="Times New Roman"/>
          <w:i/>
          <w:color w:val="000000"/>
          <w:sz w:val="28"/>
          <w:szCs w:val="28"/>
          <w:u w:val="single"/>
        </w:rPr>
        <w:t>сбыта</w:t>
      </w:r>
    </w:p>
    <w:p w:rsidR="001456CE" w:rsidRPr="001456CE" w:rsidRDefault="001456CE" w:rsidP="001456CE">
      <w:pPr>
        <w:widowControl/>
        <w:shd w:val="clear" w:color="auto" w:fill="FFFFFF"/>
        <w:ind w:firstLine="709"/>
        <w:rPr>
          <w:rFonts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Материально-техническим снабжением называется процесс получения и дос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тавки предпр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ятию исходного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рья, оборудования, полуфабрикатов в сроки и количествах, обеспечивающих производственную деятельность,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На практике применяются две формы материально-технического снабжения предпр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ятия: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1) транзитная: когда грузы с завода-поставщика поставляются потребителю без промежуто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ных перевалок;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2) складская: при объеме поставки меньшем, чем при транзитной форме.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Транзитная форма используется при потреблении предприятием большого ко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личества одн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родных материалов и изд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 складской форме снабжения предприятие получает продукт малыми пор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циями с центр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лизованного склада и создает в пределах нормативов запасы у себя на складе.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Нормы расхода материальных ресурсов регламент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руют величину производст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венных затрат материалов, сырья и т.п. Основные и частично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вспомогательные  материалы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нормируются   единицу продукции, а некоторые вспомогательные, связанные с обеспечением ритмичной работы оборуд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вания - на   единиц   вр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мени   его работы.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 этом нормы могут быть: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перспективными, учитывающими прогрессивные направления в области рационального 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сырья и материалов в течение ряда лет;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годовыми, выражающими среднегодовой расход м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териальных ресурсов;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текущими, привязанными к конкретному технологическому процессу на ограниченный 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лендарный период.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Нормы и нормативы остаются неизменными на 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тяжении планового периода. I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К основным методам нормирования материальных ресу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сов относятся: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1) аналитически-расчётный: наиболее прогрессивный, основывается на анализе конкретных производственных 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ловий и технико-экономическом расчете расхода материала; 2) опытно-производственный: основан на установлении норм по результатам опытных испытаний и является обобщенным; 3) отчетно-статистический: используется для установления среднестатистических г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довых норм по заводу, технологической 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нии и т.п.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Нормирование производственных запасов необход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мо для становления их минимального уровня, достаточного для обеспечения ритмичной работы предприятия при мин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мальных затратах.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Производственные запасы измеряются в абсолютных величинах (тоннах) и в относительных величинах (днях), обеспечивающих производственное потребление соответствующего матери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Общественный запас материалов состоит 1) из текущего (запас равен количеству одной па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тии поставки); 2) из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сезоннострахового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(создается на случай нерегулярных поставок сырья при 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кращении навигации, распутице и т.д.); 3) из технологического (зависит от сроков подготовки и ан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лиза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рья).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Заводской запас основных строительных материалов для районов, в которых развиты желе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нодорожные и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автосети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, установлен для цемента, щебня и песка при доставке: 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тотранспортом - 5...7 суток; железнодорожным транспортом - 7. .10 су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ток.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складского хозяйства предпр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Pr="001456C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ятий</w:t>
      </w:r>
    </w:p>
    <w:p w:rsidR="001456CE" w:rsidRPr="001456CE" w:rsidRDefault="001456CE" w:rsidP="001456CE">
      <w:pPr>
        <w:widowControl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Стоимость складской переработки материалов составляет от 2 до 5% общей себестоимости изделий. При этом от 5 до 15% рабочих, занятых в производственном процессе, тр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дятся на данном перед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 зависимости от назначения склады делятся: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на материальные (хранение материалов, сырья, то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лива);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на производственные (накопление запасов и хранение полуфабрикатов собст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прои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водства);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сбытовые (хранение готовой продукции).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Склады бывают универсальными и специализирова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ными. Объем склада и его вид зависят от объема складских запасов, величина которых определяется географи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ческим положением завода, 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дом транспорта, количеством сырья и неравномерно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стью его подачи.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склада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 делится на полезную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п, занятую материалами или устройствами для их хранения, и оперативную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о, занятую перегородками, лестница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ми и т.п., определяется с уч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том коэффициента использования площ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ди склада (Ки =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п/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с): </w:t>
      </w:r>
    </w:p>
    <w:p w:rsidR="001456CE" w:rsidRPr="001456CE" w:rsidRDefault="001456CE" w:rsidP="001456C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С=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Sm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ах/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• Ки,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-общепроизводственный запас материалов;</w:t>
      </w:r>
    </w:p>
    <w:p w:rsidR="001456CE" w:rsidRPr="001456CE" w:rsidRDefault="001456CE" w:rsidP="001456C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материала, укладываемого на 1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склада.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Разгрузка и прием материалов с транспортных средств осуществляются на специально об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рудованных площадках и устройствах с точечным или фронтальным сп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собами разгрузки.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Точечный способ разгрузки применяется независимо от мощности завода для приема сып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чих материалов. 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ционарность приемного устройства позволяет мак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симально механизировать почти все операции по разгрузке.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Особенностями фронтального способа являются большая протяженность раз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грузочного фронта, значительные капиталовложения, малая степень механизации, за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траты на содержание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тей и разгрузочных устройств.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складов может быть проведена по следующим признакам. </w:t>
      </w:r>
    </w:p>
    <w:p w:rsidR="001456CE" w:rsidRPr="001456CE" w:rsidRDefault="001456CE" w:rsidP="001456CE">
      <w:pPr>
        <w:widowControl/>
        <w:numPr>
          <w:ilvl w:val="0"/>
          <w:numId w:val="1"/>
        </w:numPr>
        <w:shd w:val="clear" w:color="auto" w:fill="FFFFFF"/>
        <w:tabs>
          <w:tab w:val="clear" w:pos="1069"/>
          <w:tab w:val="num" w:pos="426"/>
        </w:tabs>
        <w:ind w:hanging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По типу емк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стей: 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штабельно-секторные;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штабельно-кольцевые;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штабельно-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таншейные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эстакадно-штабельные;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бункерные;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силосные и т.д.</w:t>
      </w:r>
    </w:p>
    <w:p w:rsidR="001456CE" w:rsidRPr="001456CE" w:rsidRDefault="001456CE" w:rsidP="001456CE">
      <w:pPr>
        <w:widowControl/>
        <w:shd w:val="clear" w:color="auto" w:fill="FFFFFF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2.   По способу хранения: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открытые;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закрытые;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частично закрытые.</w:t>
      </w:r>
    </w:p>
    <w:p w:rsidR="001456CE" w:rsidRPr="001456CE" w:rsidRDefault="001456CE" w:rsidP="001456CE">
      <w:pPr>
        <w:widowControl/>
        <w:shd w:val="clear" w:color="auto" w:fill="FFFFFF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3.   По виду внешнего транспорта: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прирельсовые;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безрельсовые;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причальные;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комбинированные.</w:t>
      </w:r>
    </w:p>
    <w:p w:rsidR="001456CE" w:rsidRPr="001456CE" w:rsidRDefault="001456CE" w:rsidP="001456CE">
      <w:pPr>
        <w:widowControl/>
        <w:shd w:val="clear" w:color="auto" w:fill="FFFFFF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4.   По территориальной ориентации: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линейно-протяженные с последующим размещен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ем материалов вдоль путей; </w:t>
      </w:r>
    </w:p>
    <w:p w:rsidR="001456CE" w:rsidRPr="001456CE" w:rsidRDefault="001456CE" w:rsidP="001456CE">
      <w:pPr>
        <w:widowControl/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параллельно-рядовые с расположением материалов параллельными штабелями, сектор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рационального выбора типа складского хозяйства необходимо использовать метод вар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антов по следующим показателям: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удельные капиталовложения на строительство и оборудование склада;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себестоимость переработки 1 т сырья;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  производительность труда или трудоемкость скла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ских операций.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Все материалы, поступающие на склад, проходят 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чественную и количественную приемку. По требованию грузополучателя проверяется вес прибывшего груза и его соответствие накладным.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 недостатке груза транспортная организация составляет коммерческий акт, по которому поставщику или самой организации предъявляется претензия.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Для установления соответствия материала стандарту осуществляется качественная его 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емка с участием сотрудников ОТК и лаборатории.  В случае выявления несоо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ветствия стандарту вызывается представитель поставщика для составления актов. Если он не явился, акт составляется с уч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стием представителя незаинтересованной организации.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На любой вид материала на складе открывается лицевой счет, в котором фиксируются пост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пление материала, его выдача со склада и остаток на конец каждого дня. Выд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ча материалов со склада производится на основании выд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ленных каждом цеху лимитов или специальных требований. Отпуск готовой продукции из цеха на склад готовой продукции производится на основании накла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ной, а отпуск по нарядам со склада готовой продукции потребителям - на 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новании товарно-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транспортной  накладной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Периодически на складах предприятий для проверки соответствия наличия материалов да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ным бухгалтерского учета производится инвентаризация.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На специализированных складах готовой продукции или полуфабрикатов инвентаризация проводится ежемеся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Главными задачами учета и контроля материалов я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1) правильно и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своевременно документированное 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ражение операций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обеспечение данных по заготовке,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ступлению, хранению и отпуску материалов;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2) контроль за соблюдением установленных норм 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пасов;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3) систематический контроль за использованием материалов в производстве на базе технич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ски обоснованных норм расх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да;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4) своевременное выявление ненужных и излишних- материалов для их перераспределения или реализации.;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Оперативный контроль за расходованием материалов дополняется бухгалтерским учетом, основные функции которого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стоят в следующем: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а) обеспечение достоверного количественного учета на складах;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б) систематический контроль правильности и сво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временности документирования складских операций по движению мат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риалов;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оформление на бланках типовых форм первичной документации всех хозяйственных оп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раций, связанных с поступлением, перемещением и отпуском материальных ценностей.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Всякое изменение против лимита (перевыполнение плана, изменение нормы и т.д.) должно быть оформлено документами с соответствующими подписями ответст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яиц. Отпуск мат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риалов на сторону должен оформляться отделом снабжения на основе договоров, нарядов и т.п.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тем выписки приказа - накладной на отпуск ма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 на сторону (подписывается главным бухга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тером).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Основной показатель эффективности снабженческой и сбытовой деятельности - своевреме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ное удовлетворение всех потребностей предприятия в материальных ресурсах и обеспечение ри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мичного сбыта при минимальных затратах.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Обобщающим показателем ритмичности работы предприятия за месяц или квартал является коэффициент ритмичности, который показывает удельный вес продукции, выпущенной без нар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шения графика: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К =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ф/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п,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где  </w:t>
      </w: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ф - фактически выпущенная продукция; </w:t>
      </w:r>
    </w:p>
    <w:p w:rsidR="001456CE" w:rsidRPr="001456CE" w:rsidRDefault="001456CE" w:rsidP="001456CE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п- плановая продукция.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Центральные склады обслуживают несколько оптово-посреднических фирм. Располагаются в крупных промышленных районах или на территории крупных транспортных узлов, удобных для до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тавки в основные потребительские районы.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Региональный склад обслуживает потребителей в пределах локального рынка (область, г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род, район). Может осуществлять поставки как непосредственно потребителям, так и предприятиям торговли. 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Склад-магазин реализует товары мелкими партиями, необходимыми для удовлетворения 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монтно-эксплуатационных нужд.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Склад-отель предоставляется на коммерческой основе другим предприятиям для хранения производственных и 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варных запасов.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Склад таможенный, приписной (бондовый) - склад при таможне, на котором товар может 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ходиться под контролем там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женных властей.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Ввоз товара на склад не требует соблюдения таможенных формальностей и уплаты таможе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ных пошлин.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Оборачиваемость запасов - процесс обновления товарных запасов. Характеризуется двумя взаимозависимыми показателями: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оборачиваемость запасов, дней;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коэффициент оборачиваемости запасов.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Оборачиваемость запасов показывает число дней, в течение которых запасы полностью оборачиваются или обновляются, и рассчитывается путем деления сред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них объ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мов запасов на средний дне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ной отпуск товаров со складов.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оборачиваемости запасов показывает, сколько раз полностью оборачиваются запасы в единицу времени, и рассчитывается путем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деления количе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ства дней в рассматриваемом периоде на оборачиваемость запасов (в днях).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 исчислении коэффициента оборачиваемости производственного запаса используется показатель объемов производственного потребления за отчетный пери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од в натуральном «ли сто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мостном выражении.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При исчислении коэффициента оборачиваемости товарного запаса использует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ся показатель объемов реализованной или отгруженной продукции за отчетный пери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од в натуральном или сто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мостном выражении.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Чем выше коэффициент оборачиваемости запасов, тем меньше их требуется для обеспеч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ния данного объема производства или реализации товаров. Этот пока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затель используется при расч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 потребления в кредитных ресурсах и норм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ровании оборотных средств.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Партия поставки — норма отгрузки товара изготовителем или оптово-посреднической 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ганизацией в адрес грузополучателя. Соответствует грузоподъем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ности тран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портного средства, контейнера или величине стандартной упаковки товара. 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Издержки хранения - совокупные затраты, связанные с хранением товаров, на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чиная от их размещения в местах хранения и до-момента отгрузки покупателю. Это -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ставная часть издержек производства и обращения. Размеры издержек хранения зависят от времени хранения и требов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ний, предъявляемых к хранению с учетом не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обходимости обеспечения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хранности потребительских свойств товаров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Иммобилизация средств в запасах - косвенные затраты, связанные с формиро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ванием мат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риальных запасов, обусловл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 отвлечением и «замораживанием» фи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нансовых средств, вложенных в запасы.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Величина потерь от иммобилизации средств в запасах определяется суммой прибыли, кот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рая может быть получена, если бы средства, отвлеченные на запасы, наход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лись в хозяйственном обороте. Сумму потерь от иммобилизации средств в за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пасах следует учитывать при оценке сравн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тельных вариантов размещения запасов и выбора наиб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лее оптимального из них. При этом одним из определяющих моментов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являются время отвлечения средств в запасах и общая сумма заморажив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1456CE">
        <w:rPr>
          <w:rFonts w:ascii="Times New Roman" w:hAnsi="Times New Roman" w:cs="Times New Roman"/>
          <w:sz w:val="28"/>
          <w:szCs w:val="28"/>
        </w:rPr>
        <w:t xml:space="preserve">  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редств.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Частота поставок - регулярность и интенсивность материальных потоков от продавца к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купателям. Измеряется числом поставок в единицу времени. Одновре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менно частота поставок опр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деляет временные интервалы поступления материалов на склад покупателя, средние размеры кот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рого определяются путем деления обще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го объема посту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ления материала в единицу времени на число поставок в эту едини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softHyphen/>
        <w:t>цу времени. Чем больше частота поставок, тем меньше могут быть зап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сы у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купателя.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Возможность увеличения частоты поставок зависит от уровня развития транспортных 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тей, способов доставки грузов, дальности поставок, ритмичности выпуска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продукции. При опред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лении оптимальной частоты поставок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требителю соизмеряются дополнительные транспортные расходы от увеличения частоты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ставки с экономией средств от сокращения запасов.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Логистика - теория планирования, управления и контроля процессов движения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ных, трудовых, энергетических и информационных потоков в человеко-машинных системах. В эк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номической логистике в качестве основного используется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понятие материального потока, к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гда все стадии производства, транспортировка и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сбыт продукции рассматриваются, как единый и непр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рывный процесс трансформации и движения продукта труда и связанной с ним информации. Гла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ной задачей экономической логистики является создание интегрированной системы регул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рования и</w:t>
      </w:r>
      <w:r w:rsidRPr="001456CE">
        <w:rPr>
          <w:rFonts w:ascii="Times New Roman" w:hAnsi="Times New Roman" w:cs="Times New Roman"/>
          <w:sz w:val="28"/>
          <w:szCs w:val="28"/>
        </w:rPr>
        <w:t xml:space="preserve"> контроля материальны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х и информационных потоков, обеспечивающей высокое качество</w:t>
      </w:r>
      <w:r w:rsidRPr="001456CE">
        <w:rPr>
          <w:rFonts w:ascii="Times New Roman" w:hAnsi="Times New Roman" w:cs="Times New Roman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сниж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ние издержек производства.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bCs/>
          <w:color w:val="000000"/>
          <w:sz w:val="28"/>
          <w:szCs w:val="28"/>
        </w:rPr>
        <w:t>В логистике ус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танавливается соответствие информационных и материальных</w:t>
      </w:r>
      <w:r w:rsidRPr="001456CE">
        <w:rPr>
          <w:rFonts w:ascii="Times New Roman" w:hAnsi="Times New Roman" w:cs="Times New Roman"/>
          <w:sz w:val="28"/>
          <w:szCs w:val="28"/>
        </w:rPr>
        <w:t xml:space="preserve"> потоков, о</w:t>
      </w:r>
      <w:r w:rsidRPr="001456CE">
        <w:rPr>
          <w:rFonts w:ascii="Times New Roman" w:hAnsi="Times New Roman" w:cs="Times New Roman"/>
          <w:sz w:val="28"/>
          <w:szCs w:val="28"/>
        </w:rPr>
        <w:t>п</w:t>
      </w:r>
      <w:r w:rsidRPr="001456CE">
        <w:rPr>
          <w:rFonts w:ascii="Times New Roman" w:hAnsi="Times New Roman" w:cs="Times New Roman"/>
          <w:sz w:val="28"/>
          <w:szCs w:val="28"/>
        </w:rPr>
        <w:t>ределяется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оптимального перемещения ресурсов и товаров, вырабатываются стандар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ные требования к упаковке и качеству товаров, выявляются центры потерь времени и нерационал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ного использования материальных и трудовых ресурсов, оборудования и помещений. В этих целях операции исследуются методами линейного программирования, </w:t>
      </w:r>
      <w:proofErr w:type="spell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функциональностоимостного</w:t>
      </w:r>
      <w:proofErr w:type="spell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ан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лиза и др. Результаты анализа используют при проектировании объектов инфраструктуры, разр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ботке технологий и средств автоматизации производственных и транспортных процессов, компь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теризации, создании эффективного упра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1456CE" w:rsidRPr="001456CE" w:rsidRDefault="001456CE" w:rsidP="001456CE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bCs/>
          <w:color w:val="000000"/>
          <w:sz w:val="28"/>
          <w:szCs w:val="28"/>
        </w:rPr>
        <w:t>Рассмотрим</w:t>
      </w:r>
      <w:r w:rsidRPr="001456C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456CE">
        <w:rPr>
          <w:rFonts w:ascii="Times New Roman" w:hAnsi="Times New Roman" w:cs="Times New Roman"/>
          <w:bCs/>
          <w:color w:val="000000"/>
          <w:sz w:val="28"/>
          <w:szCs w:val="28"/>
        </w:rPr>
        <w:t>систему управления производством и снабжением, разработанную фирмой ТОУОТА с использов</w:t>
      </w:r>
      <w:r w:rsidRPr="001456C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bCs/>
          <w:color w:val="000000"/>
          <w:sz w:val="28"/>
          <w:szCs w:val="28"/>
        </w:rPr>
        <w:t>нием методов логистики.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функционирования системы являются: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своевременная поставка продукции заказчику;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усиленный контроль за качеством продукции на всех этапах;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тщательная наладка оборудования, исключающая выпуск брака;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числа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поставщиков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комплектующих;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- максимальное приближение предприятий-смежников к месту расположения головного з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вода.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6CE">
        <w:rPr>
          <w:rFonts w:ascii="Times New Roman" w:hAnsi="Times New Roman" w:cs="Times New Roman"/>
          <w:color w:val="000000"/>
          <w:sz w:val="28"/>
          <w:szCs w:val="28"/>
        </w:rPr>
        <w:t>Система «точно в срок» — саморегулирующая система обеспечения производства матер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альными ресурсами, п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строенная на принципах логистики. Она характеризуется автоматизацией управлений, производственными потоками, при этом главным критерием функционирования сист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мы является минимизация производственных запасов. Система охватывает все стадии производства и сбыт. Это - система производства без запасов. Такой подход требует синхронизации материал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ных потоков • технологических операций да такой степени, когда завершение каждой произвол </w:t>
      </w:r>
      <w:proofErr w:type="gramStart"/>
      <w:r w:rsidRPr="001456CE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ной .стадии</w:t>
      </w:r>
      <w:proofErr w:type="gramEnd"/>
      <w:r w:rsidRPr="001456C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одновременно началом сл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56CE">
        <w:rPr>
          <w:rFonts w:ascii="Times New Roman" w:hAnsi="Times New Roman" w:cs="Times New Roman"/>
          <w:color w:val="000000"/>
          <w:sz w:val="28"/>
          <w:szCs w:val="28"/>
        </w:rPr>
        <w:t>дующей.</w:t>
      </w:r>
    </w:p>
    <w:p w:rsidR="001456CE" w:rsidRPr="001456CE" w:rsidRDefault="001456CE" w:rsidP="001456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57" w:rsidRPr="001456CE" w:rsidRDefault="00067A57">
      <w:pPr>
        <w:rPr>
          <w:sz w:val="28"/>
          <w:szCs w:val="28"/>
        </w:rPr>
      </w:pPr>
    </w:p>
    <w:sectPr w:rsidR="00067A57" w:rsidRPr="001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4BA0"/>
    <w:multiLevelType w:val="hybridMultilevel"/>
    <w:tmpl w:val="9F6A23BA"/>
    <w:lvl w:ilvl="0" w:tplc="E66A22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694302E">
      <w:numFmt w:val="none"/>
      <w:lvlText w:val=""/>
      <w:lvlJc w:val="left"/>
      <w:pPr>
        <w:tabs>
          <w:tab w:val="num" w:pos="360"/>
        </w:tabs>
      </w:pPr>
    </w:lvl>
    <w:lvl w:ilvl="2" w:tplc="E416BDD8">
      <w:numFmt w:val="none"/>
      <w:lvlText w:val=""/>
      <w:lvlJc w:val="left"/>
      <w:pPr>
        <w:tabs>
          <w:tab w:val="num" w:pos="360"/>
        </w:tabs>
      </w:pPr>
    </w:lvl>
    <w:lvl w:ilvl="3" w:tplc="B6CEA94A">
      <w:numFmt w:val="none"/>
      <w:lvlText w:val=""/>
      <w:lvlJc w:val="left"/>
      <w:pPr>
        <w:tabs>
          <w:tab w:val="num" w:pos="360"/>
        </w:tabs>
      </w:pPr>
    </w:lvl>
    <w:lvl w:ilvl="4" w:tplc="FB406E64">
      <w:numFmt w:val="none"/>
      <w:lvlText w:val=""/>
      <w:lvlJc w:val="left"/>
      <w:pPr>
        <w:tabs>
          <w:tab w:val="num" w:pos="360"/>
        </w:tabs>
      </w:pPr>
    </w:lvl>
    <w:lvl w:ilvl="5" w:tplc="94DA00FC">
      <w:numFmt w:val="none"/>
      <w:lvlText w:val=""/>
      <w:lvlJc w:val="left"/>
      <w:pPr>
        <w:tabs>
          <w:tab w:val="num" w:pos="360"/>
        </w:tabs>
      </w:pPr>
    </w:lvl>
    <w:lvl w:ilvl="6" w:tplc="2E6063BE">
      <w:numFmt w:val="none"/>
      <w:lvlText w:val=""/>
      <w:lvlJc w:val="left"/>
      <w:pPr>
        <w:tabs>
          <w:tab w:val="num" w:pos="360"/>
        </w:tabs>
      </w:pPr>
    </w:lvl>
    <w:lvl w:ilvl="7" w:tplc="D83C2F14">
      <w:numFmt w:val="none"/>
      <w:lvlText w:val=""/>
      <w:lvlJc w:val="left"/>
      <w:pPr>
        <w:tabs>
          <w:tab w:val="num" w:pos="360"/>
        </w:tabs>
      </w:pPr>
    </w:lvl>
    <w:lvl w:ilvl="8" w:tplc="6A26D1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CE"/>
    <w:rsid w:val="00067A57"/>
    <w:rsid w:val="001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EED7"/>
  <w15:chartTrackingRefBased/>
  <w15:docId w15:val="{D155B66B-7494-4349-8461-AF77C386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2021-01-02T17:23:00Z</dcterms:created>
  <dcterms:modified xsi:type="dcterms:W3CDTF">2021-01-02T17:24:00Z</dcterms:modified>
</cp:coreProperties>
</file>