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6D" w:rsidRPr="00584FD5" w:rsidRDefault="00170972" w:rsidP="00584FD5">
      <w:pPr>
        <w:spacing w:after="0" w:line="240" w:lineRule="auto"/>
        <w:jc w:val="center"/>
        <w:rPr>
          <w:rFonts w:ascii="Times New Roman" w:hAnsi="Times New Roman" w:cs="Times New Roman"/>
          <w:b/>
          <w:sz w:val="24"/>
          <w:szCs w:val="28"/>
        </w:rPr>
      </w:pPr>
      <w:r w:rsidRPr="00584FD5">
        <w:rPr>
          <w:rFonts w:ascii="Times New Roman" w:hAnsi="Times New Roman" w:cs="Times New Roman"/>
          <w:b/>
          <w:sz w:val="24"/>
          <w:szCs w:val="28"/>
        </w:rPr>
        <w:t>Тест по теме «Уголовное право»</w:t>
      </w:r>
    </w:p>
    <w:p w:rsidR="00584FD5" w:rsidRPr="00EB627F" w:rsidRDefault="00584FD5" w:rsidP="00584FD5">
      <w:pPr>
        <w:spacing w:after="0" w:line="240" w:lineRule="auto"/>
        <w:ind w:firstLine="706"/>
        <w:jc w:val="center"/>
        <w:textAlignment w:val="baseline"/>
        <w:rPr>
          <w:rFonts w:ascii="Times New Roman" w:eastAsia="Times New Roman" w:hAnsi="Times New Roman" w:cs="Times New Roman"/>
          <w:sz w:val="24"/>
          <w:szCs w:val="24"/>
          <w:lang w:eastAsia="ru-RU"/>
        </w:rPr>
      </w:pPr>
      <w:bookmarkStart w:id="0" w:name="_GoBack"/>
      <w:bookmarkEnd w:id="0"/>
      <w:r w:rsidRPr="00EB627F">
        <w:rPr>
          <w:rFonts w:ascii="Times New Roman" w:eastAsia="Calibri" w:hAnsi="Times New Roman" w:cs="Times New Roman"/>
          <w:b/>
          <w:bCs/>
          <w:color w:val="000000"/>
          <w:kern w:val="24"/>
          <w:sz w:val="24"/>
          <w:szCs w:val="24"/>
          <w:highlight w:val="yellow"/>
          <w:lang w:eastAsia="ru-RU"/>
        </w:rPr>
        <w:t>Ответьте на тестовые задания с указанием статей кодекса</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color w:val="000000"/>
          <w:kern w:val="24"/>
          <w:sz w:val="24"/>
          <w:szCs w:val="24"/>
          <w:lang w:eastAsia="ru-RU"/>
        </w:rPr>
        <w:t>1. Допускается ли применение уголовного закона по аналогии?</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А) допускается;</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Б) не допускается.</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color w:val="000000"/>
          <w:kern w:val="24"/>
          <w:sz w:val="24"/>
          <w:szCs w:val="24"/>
          <w:lang w:eastAsia="ru-RU"/>
        </w:rPr>
        <w:t>2. В соответствии с действующим уголовным законодательством, граждане Российской Федерации, совершившие преступление на территории иностранного государства…</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А) не подлежат выдаче этому государству;</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Б) подлежат выдаче этому государству;</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В) подлежат выдаче этому государству только в случае наличия международного договора.</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color w:val="000000"/>
          <w:kern w:val="24"/>
          <w:sz w:val="24"/>
          <w:szCs w:val="24"/>
          <w:lang w:eastAsia="ru-RU"/>
        </w:rPr>
        <w:t>3. Преступление – это …</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А) виновно совершенное общественно опасное деяние, запрещенное уголовным законом под угрозой наказания;</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Б) общественно опасное деяние, запрещенное уголовным законом под угрозой наказания;</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В) виновно совершенное общественно опасное деяние, запрещенное уголовным или административным законом под угрозой наказания.</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color w:val="000000"/>
          <w:kern w:val="24"/>
          <w:sz w:val="24"/>
          <w:szCs w:val="24"/>
          <w:lang w:eastAsia="ru-RU"/>
        </w:rPr>
        <w:t>4. Преступлениями небольшой тяжести признаются…</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А) умышленные деяния, за совершение которых максимальное наказание, предусмотренное УК РФ, не превышает двух лет лишения свободы;</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Б) неосторожные деяния, за совершение которых максимальное наказание, предусмотренное УК РФ, не превышает двух лет лишения свободы;</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В) умышленные и неосторожные деяния, за совершение которых максимальное наказание, предусмотренное УК РФ, не превышает двух лет лишения свободы.</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color w:val="000000"/>
          <w:kern w:val="24"/>
          <w:sz w:val="24"/>
          <w:szCs w:val="24"/>
          <w:lang w:eastAsia="ru-RU"/>
        </w:rPr>
        <w:t>5. Тяжкими преступлениями признаются…</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А) умышленные и неосторожные деяния, за совершение которых УК РФ предусмотрено наказание в виде лишения свободы на срок свыше десяти лет или более строгое наказание;</w:t>
      </w:r>
      <w:r w:rsidRPr="00584FD5">
        <w:rPr>
          <w:rFonts w:ascii="Times New Roman" w:eastAsia="+mn-ea" w:hAnsi="Times New Roman" w:cs="Times New Roman"/>
          <w:color w:val="000000"/>
          <w:kern w:val="24"/>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Б) умышленные деяния, за совершение которых максимальное наказание, предусмотренное УК РФ, не превышает десяти лет лишения свободы;</w:t>
      </w:r>
      <w:r w:rsidRPr="00584FD5">
        <w:rPr>
          <w:rFonts w:ascii="Times New Roman" w:eastAsia="+mn-ea" w:hAnsi="Times New Roman" w:cs="Times New Roman"/>
          <w:color w:val="000000"/>
          <w:kern w:val="24"/>
          <w:sz w:val="24"/>
          <w:szCs w:val="24"/>
          <w:lang w:eastAsia="ru-RU"/>
        </w:rPr>
        <w:t xml:space="preserve"> </w:t>
      </w:r>
    </w:p>
    <w:p w:rsid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color w:val="000000"/>
          <w:kern w:val="24"/>
          <w:sz w:val="24"/>
          <w:szCs w:val="24"/>
          <w:lang w:eastAsia="ru-RU"/>
        </w:rPr>
        <w:t>В) умышленные деяния, за совершение которых УК РФ предусмотрено наказание в виде лишения свободы на срок свыше десяти лет или более строгое наказание.</w:t>
      </w:r>
      <w:r w:rsidRPr="00584FD5">
        <w:rPr>
          <w:rFonts w:ascii="Times New Roman" w:eastAsia="+mn-ea" w:hAnsi="Times New Roman" w:cs="Times New Roman"/>
          <w:color w:val="000000"/>
          <w:kern w:val="24"/>
          <w:position w:val="1"/>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 xml:space="preserve">6. Совершение двух или более преступлений, предусмотренных различными статьями или частями статьи УК РФ, ни </w:t>
      </w:r>
      <w:proofErr w:type="gramStart"/>
      <w:r w:rsidRPr="00584FD5">
        <w:rPr>
          <w:rFonts w:ascii="Times New Roman" w:eastAsia="Times New Roman" w:hAnsi="Times New Roman" w:cs="Times New Roman"/>
          <w:b/>
          <w:bCs/>
          <w:sz w:val="24"/>
          <w:szCs w:val="24"/>
          <w:lang w:eastAsia="ru-RU"/>
        </w:rPr>
        <w:t>за одно</w:t>
      </w:r>
      <w:proofErr w:type="gramEnd"/>
      <w:r w:rsidRPr="00584FD5">
        <w:rPr>
          <w:rFonts w:ascii="Times New Roman" w:eastAsia="Times New Roman" w:hAnsi="Times New Roman" w:cs="Times New Roman"/>
          <w:b/>
          <w:bCs/>
          <w:sz w:val="24"/>
          <w:szCs w:val="24"/>
          <w:lang w:eastAsia="ru-RU"/>
        </w:rPr>
        <w:t xml:space="preserve"> из которых лицо не было осуждено признается…</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неоднократностью преступлений;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совокупностью преступлений;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В) рецидивом.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7. Совершение умышленного преступления лицом, имеющим судимость за ранее совершенное умышленное преступление, признается…</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неоднократностью преступлений;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совокупностью преступлений;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В) рецидивом.</w:t>
      </w:r>
      <w:r w:rsidRPr="00584FD5">
        <w:rPr>
          <w:rFonts w:ascii="Times New Roman" w:eastAsia="Times New Roman" w:hAnsi="Times New Roman" w:cs="Times New Roman"/>
          <w:sz w:val="24"/>
          <w:szCs w:val="24"/>
          <w:lang w:eastAsia="ru-RU"/>
        </w:rPr>
        <w:tab/>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8. Общими условиями привлечения к уголовной ответственности являются:</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достижение определенного возраста;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вменяемость, наличие определенной профессии;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В) вменяемость физического лица, достижение определенного возраста;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Г) вменяемость, наличие определенной профессии, достижение определенного возраста. </w:t>
      </w:r>
    </w:p>
    <w:p w:rsidR="00584FD5" w:rsidRPr="00584FD5" w:rsidRDefault="00584FD5" w:rsidP="00584FD5">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9. Уголовной ответственности за перечисленные преступления: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подлежит лицо, достигшее ко времени совершения преступления…</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четырнадцатилетнего возраста;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шестнадцатилетнего возраста;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В) восемнадцатилетнего возраста.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10. Лицу, совершившему предусмотренное уголовным законом общественно опасное деяние в состоянии невменяемости…</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назначаются принудительные меры медицинского характера; </w:t>
      </w:r>
    </w:p>
    <w:p w:rsidR="00584FD5" w:rsidRP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lastRenderedPageBreak/>
        <w:t xml:space="preserve">Б) оно подлежит уголовной ответственности на общих основаниях; </w:t>
      </w:r>
    </w:p>
    <w:p w:rsidR="00584FD5" w:rsidRDefault="00584FD5" w:rsidP="00584FD5">
      <w:pPr>
        <w:kinsoku w:val="0"/>
        <w:overflowPunct w:val="0"/>
        <w:spacing w:after="0" w:line="240" w:lineRule="auto"/>
        <w:ind w:firstLine="706"/>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В) лицо освобождается от уголовной ответственности.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11. Виновным в преступлении признается лицо, совершившее деяние…</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только умышленно;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умышленно или по неосторожности.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12. Преступление признается совершенным с прямым умыслом…</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13. Преступление признается совершенным по небрежности…</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14. Покушением на преступление признаются…</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А)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b/>
          <w:bCs/>
          <w:sz w:val="24"/>
          <w:szCs w:val="24"/>
          <w:lang w:eastAsia="ru-RU"/>
        </w:rPr>
        <w:t>15. Предусмотрена ли действующим уголовным законодательством ответственность за приготовление к преступлению?</w:t>
      </w:r>
      <w:r w:rsidRPr="00584FD5">
        <w:rPr>
          <w:rFonts w:ascii="Times New Roman" w:eastAsia="Times New Roman" w:hAnsi="Times New Roman" w:cs="Times New Roman"/>
          <w:sz w:val="24"/>
          <w:szCs w:val="24"/>
          <w:lang w:eastAsia="ru-RU"/>
        </w:rPr>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А) да;</w:t>
      </w:r>
      <w:r w:rsidRPr="00584FD5">
        <w:rPr>
          <w:rFonts w:ascii="Times New Roman" w:eastAsia="Times New Roman" w:hAnsi="Times New Roman" w:cs="Times New Roman"/>
          <w:sz w:val="24"/>
          <w:szCs w:val="24"/>
          <w:lang w:eastAsia="ru-RU"/>
        </w:rPr>
        <w:tab/>
        <w:t xml:space="preserve"> </w:t>
      </w:r>
    </w:p>
    <w:p w:rsidR="00584FD5"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Б) нет; </w:t>
      </w:r>
    </w:p>
    <w:p w:rsidR="00F72A7C" w:rsidRPr="00584FD5" w:rsidRDefault="00584FD5" w:rsidP="00584FD5">
      <w:pPr>
        <w:kinsoku w:val="0"/>
        <w:overflowPunct w:val="0"/>
        <w:spacing w:after="0" w:line="240" w:lineRule="auto"/>
        <w:textAlignment w:val="baseline"/>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 xml:space="preserve">В) да, но только к тяжкому и особо тяжкому преступлениям. </w:t>
      </w:r>
    </w:p>
    <w:p w:rsidR="00A2234F" w:rsidRPr="00EA3792" w:rsidRDefault="00A2234F" w:rsidP="00A2234F">
      <w:pPr>
        <w:jc w:val="center"/>
        <w:rPr>
          <w:rFonts w:ascii="Times New Roman" w:hAnsi="Times New Roman" w:cs="Times New Roman"/>
          <w:sz w:val="28"/>
          <w:szCs w:val="28"/>
        </w:rPr>
      </w:pPr>
    </w:p>
    <w:sectPr w:rsidR="00A2234F" w:rsidRPr="00EA3792" w:rsidSect="00584FD5">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140"/>
    <w:multiLevelType w:val="hybridMultilevel"/>
    <w:tmpl w:val="94B448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208BC"/>
    <w:multiLevelType w:val="hybridMultilevel"/>
    <w:tmpl w:val="A69AF7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6158B"/>
    <w:multiLevelType w:val="hybridMultilevel"/>
    <w:tmpl w:val="5FB288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F6082"/>
    <w:multiLevelType w:val="hybridMultilevel"/>
    <w:tmpl w:val="435A4D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E04546"/>
    <w:multiLevelType w:val="hybridMultilevel"/>
    <w:tmpl w:val="9C0604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2944FB"/>
    <w:multiLevelType w:val="hybridMultilevel"/>
    <w:tmpl w:val="294C8C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50EDD"/>
    <w:multiLevelType w:val="hybridMultilevel"/>
    <w:tmpl w:val="CA162D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F4541"/>
    <w:multiLevelType w:val="hybridMultilevel"/>
    <w:tmpl w:val="163C674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6665B4"/>
    <w:multiLevelType w:val="hybridMultilevel"/>
    <w:tmpl w:val="09AC88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040B2A"/>
    <w:multiLevelType w:val="hybridMultilevel"/>
    <w:tmpl w:val="E5187DB0"/>
    <w:lvl w:ilvl="0" w:tplc="50646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C0C05"/>
    <w:multiLevelType w:val="hybridMultilevel"/>
    <w:tmpl w:val="B8EE2A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B2053"/>
    <w:multiLevelType w:val="hybridMultilevel"/>
    <w:tmpl w:val="9C5AD0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6C21A0"/>
    <w:multiLevelType w:val="hybridMultilevel"/>
    <w:tmpl w:val="57F4C6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F77DB"/>
    <w:multiLevelType w:val="hybridMultilevel"/>
    <w:tmpl w:val="DD0EEE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C07F0"/>
    <w:multiLevelType w:val="hybridMultilevel"/>
    <w:tmpl w:val="F140A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D709F"/>
    <w:multiLevelType w:val="hybridMultilevel"/>
    <w:tmpl w:val="B78614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D0F4B"/>
    <w:multiLevelType w:val="hybridMultilevel"/>
    <w:tmpl w:val="A2AC22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D5D91"/>
    <w:multiLevelType w:val="hybridMultilevel"/>
    <w:tmpl w:val="F140A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3"/>
  </w:num>
  <w:num w:numId="5">
    <w:abstractNumId w:val="2"/>
  </w:num>
  <w:num w:numId="6">
    <w:abstractNumId w:val="4"/>
  </w:num>
  <w:num w:numId="7">
    <w:abstractNumId w:val="15"/>
  </w:num>
  <w:num w:numId="8">
    <w:abstractNumId w:val="3"/>
  </w:num>
  <w:num w:numId="9">
    <w:abstractNumId w:val="5"/>
  </w:num>
  <w:num w:numId="10">
    <w:abstractNumId w:val="6"/>
  </w:num>
  <w:num w:numId="11">
    <w:abstractNumId w:val="1"/>
  </w:num>
  <w:num w:numId="12">
    <w:abstractNumId w:val="16"/>
  </w:num>
  <w:num w:numId="13">
    <w:abstractNumId w:val="12"/>
  </w:num>
  <w:num w:numId="14">
    <w:abstractNumId w:val="8"/>
  </w:num>
  <w:num w:numId="15">
    <w:abstractNumId w:val="10"/>
  </w:num>
  <w:num w:numId="16">
    <w:abstractNumId w:val="0"/>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70972"/>
    <w:rsid w:val="00130B84"/>
    <w:rsid w:val="00170972"/>
    <w:rsid w:val="003074BD"/>
    <w:rsid w:val="00311385"/>
    <w:rsid w:val="003C0378"/>
    <w:rsid w:val="004E53B1"/>
    <w:rsid w:val="00584FD5"/>
    <w:rsid w:val="005F091C"/>
    <w:rsid w:val="006C5AFE"/>
    <w:rsid w:val="008A2550"/>
    <w:rsid w:val="00923A41"/>
    <w:rsid w:val="00A2234F"/>
    <w:rsid w:val="00A82AE8"/>
    <w:rsid w:val="00AA3777"/>
    <w:rsid w:val="00BA7F6D"/>
    <w:rsid w:val="00CD0F53"/>
    <w:rsid w:val="00DC6396"/>
    <w:rsid w:val="00EA3792"/>
    <w:rsid w:val="00EB627F"/>
    <w:rsid w:val="00F63EDD"/>
    <w:rsid w:val="00F72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972"/>
    <w:pPr>
      <w:ind w:left="720"/>
      <w:contextualSpacing/>
    </w:pPr>
  </w:style>
  <w:style w:type="table" w:styleId="a4">
    <w:name w:val="Table Grid"/>
    <w:basedOn w:val="a1"/>
    <w:uiPriority w:val="59"/>
    <w:rsid w:val="00A22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580316">
      <w:bodyDiv w:val="1"/>
      <w:marLeft w:val="0"/>
      <w:marRight w:val="0"/>
      <w:marTop w:val="0"/>
      <w:marBottom w:val="0"/>
      <w:divBdr>
        <w:top w:val="none" w:sz="0" w:space="0" w:color="auto"/>
        <w:left w:val="none" w:sz="0" w:space="0" w:color="auto"/>
        <w:bottom w:val="none" w:sz="0" w:space="0" w:color="auto"/>
        <w:right w:val="none" w:sz="0" w:space="0" w:color="auto"/>
      </w:divBdr>
    </w:div>
    <w:div w:id="1735619601">
      <w:bodyDiv w:val="1"/>
      <w:marLeft w:val="0"/>
      <w:marRight w:val="0"/>
      <w:marTop w:val="0"/>
      <w:marBottom w:val="0"/>
      <w:divBdr>
        <w:top w:val="none" w:sz="0" w:space="0" w:color="auto"/>
        <w:left w:val="none" w:sz="0" w:space="0" w:color="auto"/>
        <w:bottom w:val="none" w:sz="0" w:space="0" w:color="auto"/>
        <w:right w:val="none" w:sz="0" w:space="0" w:color="auto"/>
      </w:divBdr>
    </w:div>
    <w:div w:id="1783920521">
      <w:bodyDiv w:val="1"/>
      <w:marLeft w:val="0"/>
      <w:marRight w:val="0"/>
      <w:marTop w:val="0"/>
      <w:marBottom w:val="0"/>
      <w:divBdr>
        <w:top w:val="none" w:sz="0" w:space="0" w:color="auto"/>
        <w:left w:val="none" w:sz="0" w:space="0" w:color="auto"/>
        <w:bottom w:val="none" w:sz="0" w:space="0" w:color="auto"/>
        <w:right w:val="none" w:sz="0" w:space="0" w:color="auto"/>
      </w:divBdr>
    </w:div>
    <w:div w:id="19714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581BA-2715-4ABF-A64B-0641689F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sibadi</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chernikova_ae</dc:creator>
  <cp:keywords/>
  <dc:description/>
  <cp:lastModifiedBy>suhareva_sv</cp:lastModifiedBy>
  <cp:revision>12</cp:revision>
  <cp:lastPrinted>2020-05-07T19:21:00Z</cp:lastPrinted>
  <dcterms:created xsi:type="dcterms:W3CDTF">2018-12-06T05:34:00Z</dcterms:created>
  <dcterms:modified xsi:type="dcterms:W3CDTF">2022-12-09T05:35:00Z</dcterms:modified>
</cp:coreProperties>
</file>