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ПУЭ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устройства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электроустановок)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медь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7.1.34):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Питающие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распределительные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жилами...»</w:t>
      </w:r>
    </w:p>
    <w:p w:rsidR="00861FD6" w:rsidRPr="00861FD6" w:rsidRDefault="00861FD6" w:rsidP="00861FD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Что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это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значит: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алюминия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АППВ)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долговечнее,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окисляется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сечении.</w:t>
      </w:r>
    </w:p>
    <w:p w:rsidR="00861FD6" w:rsidRPr="00861FD6" w:rsidRDefault="00861FD6" w:rsidP="00861FD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Нюанс: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алюминиевых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сплавов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(марок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8030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8176)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Минэнерго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№1196),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по-прежнему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медь.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Цветовая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маркировка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1.1.29):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«Цветовое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проводников...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проводника...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двухцветная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комбинация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зелено-желтого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проводника...»</w:t>
      </w:r>
    </w:p>
    <w:p w:rsidR="00861FD6" w:rsidRPr="00861FD6" w:rsidRDefault="00861FD6" w:rsidP="00861FD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Синий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(N):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«ноль».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фазную,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хочется.</w:t>
      </w:r>
    </w:p>
    <w:p w:rsidR="00861FD6" w:rsidRPr="00861FD6" w:rsidRDefault="00861FD6" w:rsidP="00861FD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Желто-зеленый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(PE):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«земля».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861FD6" w:rsidRPr="00861FD6" w:rsidRDefault="00861FD6" w:rsidP="00861FD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Фаза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(L):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коричневый,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серый.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желто-зеленой.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Прокладка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линий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(геометрия)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2.1.61):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скрытой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штукатурки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тонкостенных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перегородках...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lastRenderedPageBreak/>
        <w:t>кратчайшим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параллельно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архитектурно-художественного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оформления...»</w:t>
      </w:r>
    </w:p>
    <w:p w:rsidR="00861FD6" w:rsidRPr="00861FD6" w:rsidRDefault="00861FD6" w:rsidP="00861F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Расшифровка: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формулировка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«кратчайшим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путем»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соблазнительно,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256.1325800.2016</w:t>
      </w:r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уточняет: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идти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горизонтально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вертикально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Зачем: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решив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повесить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картину,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знали,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углом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градусов.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соединения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проводов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2.1.21):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«Соединение,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ответвление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оконцевание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производиться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сварки,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пайки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сжимов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(винтовых,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действующими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инструкциями».</w:t>
      </w:r>
    </w:p>
    <w:p w:rsidR="00861FD6" w:rsidRPr="00861FD6" w:rsidRDefault="00861FD6" w:rsidP="00861FD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Ключевой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«скрутка»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Скрутка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сваркой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пайкой.</w:t>
      </w:r>
    </w:p>
    <w:p w:rsidR="00861FD6" w:rsidRPr="00861FD6" w:rsidRDefault="00861FD6" w:rsidP="00861FD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надежным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методом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стенах)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сварка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опрессовка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(зажим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гильзой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ГМЛ).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Винтовые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клеммники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подтяжки,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стены.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Автоматические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выключатели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УЗО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3.1.4):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«Номинальные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аппаратов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выбираться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наименьшими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аппараты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отключали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электроприемники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кратковременных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перегрузках».</w:t>
      </w:r>
    </w:p>
    <w:p w:rsidR="00861FD6" w:rsidRPr="00861FD6" w:rsidRDefault="00861FD6" w:rsidP="00861FD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Принцип: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кабель</w:t>
      </w:r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телевизор.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поставите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25А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мм²,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сгорит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раньше,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«почувствует»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неладное.</w:t>
      </w:r>
    </w:p>
    <w:p w:rsidR="00861FD6" w:rsidRPr="00861FD6" w:rsidRDefault="00861FD6" w:rsidP="00861FD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УЗО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7.1.71):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прибрежного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исполнения...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номинальным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срабатывания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обязательной».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прикосновения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токоведущим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частям.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Ванные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комнаты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зоны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7.1.47):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душевых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санузлах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электрооборудование,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предназначено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зонах...»</w:t>
      </w:r>
    </w:p>
    <w:p w:rsidR="00861FD6" w:rsidRPr="00861FD6" w:rsidRDefault="00861FD6" w:rsidP="00861FD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12В).</w:t>
      </w:r>
    </w:p>
    <w:p w:rsidR="00861FD6" w:rsidRPr="00861FD6" w:rsidRDefault="00861FD6" w:rsidP="00861FD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водонагреватели,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IPX5).</w:t>
      </w:r>
    </w:p>
    <w:p w:rsidR="00861FD6" w:rsidRPr="00861FD6" w:rsidRDefault="00861FD6" w:rsidP="00861FD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радиусе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(светильники,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вытяжки).</w:t>
      </w:r>
    </w:p>
    <w:p w:rsidR="00861FD6" w:rsidRPr="00861FD6" w:rsidRDefault="00861FD6" w:rsidP="00861FD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пределами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УЗО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разделительный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трансформатор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br w:type="page"/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игры»,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76.13330.2016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детальная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сборке».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(актуализированная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редакция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3.05.06-85)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регламентирует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крепить,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сверлить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проверять.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ключевая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документа: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стены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6.1.2,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6.1.14):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«Проходы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небронированных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кабелей...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междуэтажные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отрезках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труб,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проемах...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зазоры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уплотнены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удаляемой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массой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материала».</w:t>
      </w:r>
    </w:p>
    <w:p w:rsidR="00861FD6" w:rsidRPr="00861FD6" w:rsidRDefault="00861FD6" w:rsidP="00861FD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замуровать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бетон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«гильзу»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(кусок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ПВХ-трубы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Заделка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цемент)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позволять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будущем.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Радиусы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изгиба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кабеля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6.1.8):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минимальные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радиусы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изгиба,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кабели...»</w:t>
      </w:r>
    </w:p>
    <w:p w:rsidR="00861FD6" w:rsidRPr="00861FD6" w:rsidRDefault="00861FD6" w:rsidP="00861FD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популярного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ВВГнг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радиус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изгиба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наружных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диаметров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толщиной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загибать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углом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колено»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повреждает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перегрев.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креплению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6.3.8,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6.3.9)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жестко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регламентирует,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держаться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поверхностях:</w:t>
      </w:r>
    </w:p>
    <w:p w:rsidR="00861FD6" w:rsidRPr="00861FD6" w:rsidRDefault="00861FD6" w:rsidP="00861FD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Горизонтальная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прокладка: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участках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крепится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50–90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(зависит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провисов.</w:t>
      </w:r>
    </w:p>
    <w:p w:rsidR="00861FD6" w:rsidRPr="00861FD6" w:rsidRDefault="00861FD6" w:rsidP="00861FD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Перед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вводом: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жестко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закреплен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выключатель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распределительную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коробку.</w:t>
      </w:r>
    </w:p>
    <w:p w:rsidR="00861FD6" w:rsidRPr="00861FD6" w:rsidRDefault="00861FD6" w:rsidP="00861FD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Повороты: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изгиба.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Маркировка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проводов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6.1.12):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наименование...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сооружениях,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маркировочные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бирки...»</w:t>
      </w:r>
    </w:p>
    <w:p w:rsidR="00861FD6" w:rsidRPr="00861FD6" w:rsidRDefault="00861FD6" w:rsidP="00861FD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бирки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гадать,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идет.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Соединения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ответвления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6.3.1):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«Соединение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ответвление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кабелей...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распределительных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ответвительных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корпусов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электроустановочных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изделий...»</w:t>
      </w:r>
    </w:p>
    <w:p w:rsidR="00861FD6" w:rsidRPr="00861FD6" w:rsidRDefault="00861FD6" w:rsidP="00861FD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Категорически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(спайки,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клеммы)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штробы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гофре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добраться.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Защитное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заземление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6.1.11):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запасом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достаточным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возможных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температурных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деформаций...»</w:t>
      </w:r>
    </w:p>
    <w:p w:rsidR="00861FD6" w:rsidRPr="00861FD6" w:rsidRDefault="00861FD6" w:rsidP="00861FD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внутренней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отделки: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Оставляйте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подрозетниках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«петлю»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15-20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см</w:t>
      </w:r>
      <w:r w:rsidRPr="00861FD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спасет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монтаже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обломится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стену.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(Приемо-сдаточная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документация)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«Пусконаладочные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работы»</w:t>
      </w:r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законченным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:</w:t>
      </w:r>
    </w:p>
    <w:p w:rsidR="00861FD6" w:rsidRPr="00861FD6" w:rsidRDefault="00861FD6" w:rsidP="00861FD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Визуального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осмотра.</w:t>
      </w:r>
    </w:p>
    <w:p w:rsidR="00861FD6" w:rsidRPr="00861FD6" w:rsidRDefault="00861FD6" w:rsidP="00861FD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сопротивления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мегаомметром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цепи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«фаза-ноль»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сработал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КЗ).</w:t>
      </w:r>
    </w:p>
    <w:p w:rsidR="00861FD6" w:rsidRPr="00861FD6" w:rsidRDefault="00861FD6" w:rsidP="00861FD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нюанс: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зашивкой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гипсокартоном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заливкой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стяжки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скр</w:t>
      </w:r>
      <w:proofErr w:type="gramEnd"/>
      <w:r w:rsidRPr="00861FD6">
        <w:rPr>
          <w:rFonts w:ascii="Times New Roman" w:hAnsi="Times New Roman" w:cs="Times New Roman"/>
          <w:b/>
          <w:bCs/>
          <w:sz w:val="28"/>
          <w:szCs w:val="28"/>
        </w:rPr>
        <w:t>ытых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невозможно.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br w:type="page"/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31-110-2003)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связующим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звеном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безопасно»,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эффективно».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ключевые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расшифровка: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нагрузок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(Групповые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сети)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9.2):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штепсельных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раздельно.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штепсельных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трехпроводными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(фазный,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проводники)».</w:t>
      </w:r>
    </w:p>
    <w:p w:rsidR="00861FD6" w:rsidRPr="00861FD6" w:rsidRDefault="00861FD6" w:rsidP="00861FD6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«сажать»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утюга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выбьет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темноте.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Расчет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количества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розеток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14.27):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общежитий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штепсельной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периметра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коридорах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площади...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кухнях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предусматривать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розеток».</w:t>
      </w:r>
    </w:p>
    <w:p w:rsidR="00861FD6" w:rsidRPr="00861FD6" w:rsidRDefault="00861FD6" w:rsidP="00861FD6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минимальный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норматив.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2–3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количества.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Мощные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бытовые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приборы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9.2):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(электрические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кондиционеры,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стиральные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машины,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электроводонагреватели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щитка».</w:t>
      </w:r>
    </w:p>
    <w:p w:rsidR="00861FD6" w:rsidRPr="00861FD6" w:rsidRDefault="00861FD6" w:rsidP="00861FD6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Стиральная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машина,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посудомойка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кондиционер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«персональные»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щитке.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выключателей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розеток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(Расположение)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14.33,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14.35):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«Выключатели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дверной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ручки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высоте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Штепсельные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планировки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мебели,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высоте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м».</w:t>
      </w:r>
    </w:p>
    <w:p w:rsidR="00861FD6" w:rsidRPr="00861FD6" w:rsidRDefault="00861FD6" w:rsidP="00861FD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евростандарт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выключателей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опущенной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жесткого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советские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глаз)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нет.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проводников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плит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9.2,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9.1):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однофазного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электроплиты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мм²».</w:t>
      </w:r>
    </w:p>
    <w:p w:rsidR="00861FD6" w:rsidRPr="00861FD6" w:rsidRDefault="00861FD6" w:rsidP="00861FD6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потребляет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мм²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нарушение.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мм²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40А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Ванные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комнаты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защита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A.1.7):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номинальным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срабатывания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питающих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штепсельные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цепям,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питающим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комнаты».</w:t>
      </w:r>
    </w:p>
    <w:p w:rsidR="00861FD6" w:rsidRPr="00861FD6" w:rsidRDefault="00861FD6" w:rsidP="00861FD6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«мокрого»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идеале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чувствительное),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утечки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позволяет.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Пожарная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(Прокладка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потолками)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14.15):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«Электропроводку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непроходными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подвесными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перегородок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скрытую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выполнять: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перегородках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горючих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металлических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трубах...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пластмассовых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трубах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распространяющими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горение».</w:t>
      </w:r>
    </w:p>
    <w:p w:rsidR="00861FD6" w:rsidRPr="00861FD6" w:rsidRDefault="00861FD6" w:rsidP="00861FD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ГКЛ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(негорючий),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ПВХ-гофру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потолок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деревянный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дачном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металлическая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труба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металлорукав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ПВХ-изоляции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br w:type="page"/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31-110-2003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сопутствующим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распределительный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коробка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сложная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сборке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расшифровкой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пунктам: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установки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13.1,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13.6)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«Распределительные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доступных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местах...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материалов».</w:t>
      </w:r>
    </w:p>
    <w:p w:rsidR="00861FD6" w:rsidRPr="00861FD6" w:rsidRDefault="00861FD6" w:rsidP="00861FD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шкаф-купе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одеждой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загромождать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мебелью.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0,8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1,7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нишу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ГКЛ,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выложена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материалом.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Вводной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аппарат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13.4)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квартиру...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(выключатель)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защиты».</w:t>
      </w:r>
    </w:p>
    <w:p w:rsidR="00861FD6" w:rsidRPr="00861FD6" w:rsidRDefault="00861FD6" w:rsidP="00861FD6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двухполюсный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(разрывает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фазу,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одновременно).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обесточки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ремонте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аварии.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Реле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напряжения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(защита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отгорания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нуля»)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7.1.73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ПУЭ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СП):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обрыве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трехфазных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сетях...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однофазных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потребителях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перенапряжений».</w:t>
      </w:r>
    </w:p>
    <w:p w:rsidR="00861FD6" w:rsidRPr="00861FD6" w:rsidRDefault="00861FD6" w:rsidP="00861FD6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31-110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«реле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напряжения»,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крайне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электроники.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скачке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250В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падении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170В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мгновенно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спасая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сгорания.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Дифференциальная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защита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(УЗО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АВДТ)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A.1.1):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«УЗО,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распределительных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щитах...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суммарный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утечки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номинального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УЗО».</w:t>
      </w:r>
    </w:p>
    <w:p w:rsidR="00861FD6" w:rsidRPr="00861FD6" w:rsidRDefault="00861FD6" w:rsidP="00861FD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861FD6" w:rsidRPr="00861FD6" w:rsidRDefault="00861FD6" w:rsidP="00861FD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«противопожарное»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100–300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стиральную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машину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внезапное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опасным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последствиям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охранно-пожарная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сигнализация).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УЗИС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(Устройство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дугового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пробоя)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внедряется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свежие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МЭК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62606</w:t>
      </w:r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Зачем: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Обычный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«искрение»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плохом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контакте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поврежденном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микродуги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предотвращая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Шины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внутренняя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разводка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13.10)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жгуты,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маркировку».</w:t>
      </w:r>
    </w:p>
    <w:p w:rsidR="00861FD6" w:rsidRPr="00861FD6" w:rsidRDefault="00861FD6" w:rsidP="00861FD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861FD6" w:rsidRPr="00861FD6" w:rsidRDefault="00861FD6" w:rsidP="00861FD6">
      <w:pPr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гребенчатые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форк-шины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самодельные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перемычки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перегрев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контактов.</w:t>
      </w:r>
    </w:p>
    <w:p w:rsidR="00861FD6" w:rsidRPr="00861FD6" w:rsidRDefault="00861FD6" w:rsidP="00861FD6">
      <w:pPr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Нулевые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(N)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(PE)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раздельными.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Соединять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занулять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категорически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запрещено.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Резервные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места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логике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расширяемости:</w:t>
      </w:r>
    </w:p>
    <w:p w:rsidR="00861FD6" w:rsidRPr="00861FD6" w:rsidRDefault="00861FD6" w:rsidP="00861FD6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15–20%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свободного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(пустых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DIN-реек).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будущем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добавить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кондиционер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теплый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щитка.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lastRenderedPageBreak/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схему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компоновки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комнат?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br w:type="page"/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D6">
        <w:rPr>
          <w:rFonts w:ascii="Times New Roman" w:hAnsi="Times New Roman" w:cs="Times New Roman"/>
          <w:b/>
          <w:sz w:val="28"/>
          <w:szCs w:val="28"/>
        </w:rPr>
        <w:lastRenderedPageBreak/>
        <w:t>ГОСТ 31565 2012 «Кабельные изделия. Требования пожарной безопасности».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ключевой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определяющий,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категорически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запрещено,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расшифровка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практическим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применением: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Классификация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исполнению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(Таблица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ведут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критично:</w:t>
      </w:r>
    </w:p>
    <w:p w:rsidR="00861FD6" w:rsidRPr="00861FD6" w:rsidRDefault="00861FD6" w:rsidP="00861FD6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индекса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(например,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одиночной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гофре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штробе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нельзя,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возгорании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пламя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остальным.</w:t>
      </w:r>
    </w:p>
    <w:p w:rsidR="00861FD6" w:rsidRPr="00861FD6" w:rsidRDefault="00861FD6" w:rsidP="00861FD6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нг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распространяющий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горение):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загорится,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подожжет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соседние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«LS»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Low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Smoke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Пониженное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дым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газовыделение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дыма,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эвакуации.</w:t>
      </w:r>
    </w:p>
    <w:p w:rsidR="00861FD6" w:rsidRPr="00861FD6" w:rsidRDefault="00861FD6" w:rsidP="00861FD6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«FR»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(Fire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Resistant):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Огнестойкий</w:t>
      </w:r>
      <w:r w:rsidRPr="00861FD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Сохраняет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огне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слюдяной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Главное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требование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жилых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помещений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6)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(Таблица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преимущественные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применения):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сооружениях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массовым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зданиях...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нг-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LS</w:t>
      </w:r>
      <w:proofErr w:type="spellEnd"/>
      <w:proofErr w:type="gramEnd"/>
      <w:r w:rsidRPr="00861FD6">
        <w:rPr>
          <w:rFonts w:ascii="Times New Roman" w:hAnsi="Times New Roman" w:cs="Times New Roman"/>
          <w:sz w:val="28"/>
          <w:szCs w:val="28"/>
        </w:rPr>
        <w:t>».</w:t>
      </w:r>
    </w:p>
    <w:p w:rsidR="00861FD6" w:rsidRPr="00861FD6" w:rsidRDefault="00861FD6" w:rsidP="00861FD6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ВВГн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861FD6">
        <w:rPr>
          <w:rFonts w:ascii="Times New Roman" w:hAnsi="Times New Roman" w:cs="Times New Roman"/>
          <w:b/>
          <w:bCs/>
          <w:sz w:val="28"/>
          <w:szCs w:val="28"/>
        </w:rPr>
        <w:t>А)-LS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высшую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пучке.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Огнестойкие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(Индекс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FRLS)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пожара...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нг</w:t>
      </w:r>
      <w:proofErr w:type="gramEnd"/>
      <w:r w:rsidRPr="00861FD6">
        <w:rPr>
          <w:rFonts w:ascii="Times New Roman" w:hAnsi="Times New Roman" w:cs="Times New Roman"/>
          <w:b/>
          <w:bCs/>
          <w:sz w:val="28"/>
          <w:szCs w:val="28"/>
        </w:rPr>
        <w:t>-FRLS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».</w:t>
      </w:r>
    </w:p>
    <w:p w:rsidR="00861FD6" w:rsidRPr="00861FD6" w:rsidRDefault="00861FD6" w:rsidP="00861FD6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Обычную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розетку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FRLS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нужно.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обязателен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:</w:t>
      </w:r>
    </w:p>
    <w:p w:rsidR="00861FD6" w:rsidRPr="00861FD6" w:rsidRDefault="00861FD6" w:rsidP="00861FD6">
      <w:pPr>
        <w:numPr>
          <w:ilvl w:val="1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сигнализации.</w:t>
      </w:r>
    </w:p>
    <w:p w:rsidR="00861FD6" w:rsidRPr="00861FD6" w:rsidRDefault="00861FD6" w:rsidP="00861FD6">
      <w:pPr>
        <w:numPr>
          <w:ilvl w:val="1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эвакуации).</w:t>
      </w:r>
    </w:p>
    <w:p w:rsidR="00861FD6" w:rsidRPr="00861FD6" w:rsidRDefault="00861FD6" w:rsidP="00861FD6">
      <w:pPr>
        <w:numPr>
          <w:ilvl w:val="1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насосов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лифтов.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«HF»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(Halogen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Free)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r w:rsidRPr="00861F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«...исполнение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нг-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HF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большим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сосредоточением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микропроцессорной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техники...»</w:t>
      </w:r>
    </w:p>
    <w:p w:rsidR="00861FD6" w:rsidRPr="00861FD6" w:rsidRDefault="00861FD6" w:rsidP="00861FD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Безгалогенные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коррозионно-активных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(кислот),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мгновенно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убивают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электронику.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«умных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домах»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дорогими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контроллерами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тип.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Токсичность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продуктов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горения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(Индекс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LTx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больниц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эвакуироваться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самостоятельно)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индексом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LSLTx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HFLTx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Low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Toxicity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ядовитых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веще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плавлении.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pict>
          <v:rect id="_x0000_i1025" style="width:0;height:.7pt" o:hralign="center" o:hrstd="t" o:hr="t" fillcolor="#a0a0a0" stroked="f"/>
        </w:pic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выбору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(ГОСТ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практика):</w:t>
      </w:r>
    </w:p>
    <w:p w:rsidR="00861FD6" w:rsidRPr="00861FD6" w:rsidRDefault="00861FD6" w:rsidP="00861FD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ВВГнг-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золотой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квартире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(розетки,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свет).</w:t>
      </w:r>
    </w:p>
    <w:p w:rsidR="00861FD6" w:rsidRPr="00861FD6" w:rsidRDefault="00861FD6" w:rsidP="00861FD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ВВГнг-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FRLS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дыма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света.</w:t>
      </w:r>
    </w:p>
    <w:p w:rsidR="00861FD6" w:rsidRPr="00861FD6" w:rsidRDefault="00861FD6" w:rsidP="00861FD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Забудьте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ПВС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ШВВП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стационарной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проводки.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шнуры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(чайников,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ламп),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закладки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(6–10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ВВГ)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br w:type="page"/>
      </w:r>
    </w:p>
    <w:p w:rsid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sz w:val="28"/>
          <w:szCs w:val="28"/>
        </w:rPr>
        <w:lastRenderedPageBreak/>
        <w:t>Расшифровка шифра (маркировки) 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«паспорт»,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зашифрованы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буквенно-цифровая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ГОСТ.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пошаговое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руководство,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маркировку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популярного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(ВВГ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аналоги):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жил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(Первая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буква)</w:t>
      </w:r>
    </w:p>
    <w:p w:rsidR="00861FD6" w:rsidRPr="00861FD6" w:rsidRDefault="00861FD6" w:rsidP="00861FD6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Алюминий.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Медная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умолчанию).</w:t>
      </w:r>
    </w:p>
    <w:p w:rsidR="00861FD6" w:rsidRPr="00861FD6" w:rsidRDefault="00861FD6" w:rsidP="00861FD6">
      <w:pPr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АВВГ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алюминий,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медь.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Тип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изоляции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оболочки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буквы)</w:t>
      </w:r>
    </w:p>
    <w:p w:rsidR="00861FD6" w:rsidRPr="00861FD6" w:rsidRDefault="00861FD6" w:rsidP="00861FD6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первая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(поливинилхлорид).</w:t>
      </w:r>
    </w:p>
    <w:p w:rsidR="00861FD6" w:rsidRPr="00861FD6" w:rsidRDefault="00861FD6" w:rsidP="00861FD6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(вторая)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ПВХ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полиэтилена.</w:t>
      </w:r>
    </w:p>
    <w:p w:rsidR="00861FD6" w:rsidRPr="00861FD6" w:rsidRDefault="00861FD6" w:rsidP="00861FD6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Резиновая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изоляция.</w:t>
      </w:r>
    </w:p>
    <w:p w:rsidR="00861FD6" w:rsidRPr="00861FD6" w:rsidRDefault="00861FD6" w:rsidP="00861FD6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«Голый».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бронированного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гибкий,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трубах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штробах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Конструктивные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</w:p>
    <w:p w:rsidR="00861FD6" w:rsidRPr="00861FD6" w:rsidRDefault="00861FD6" w:rsidP="00861FD6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ВВГ-П)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Плоский</w:t>
      </w:r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скручены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Удобно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тонких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штроб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</w:p>
    <w:p w:rsidR="00861FD6" w:rsidRPr="00861FD6" w:rsidRDefault="00861FD6" w:rsidP="00861FD6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заполнением.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резиновый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круглой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формы.</w:t>
      </w:r>
    </w:p>
    <w:p w:rsidR="00861FD6" w:rsidRPr="00861FD6" w:rsidRDefault="00861FD6" w:rsidP="00861FD6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броней.</w:t>
      </w:r>
    </w:p>
    <w:p w:rsidR="00861FD6" w:rsidRPr="00861FD6" w:rsidRDefault="00861FD6" w:rsidP="00861FD6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Бронированный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(стальными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лентами).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Пожарная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важное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ГОСТ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31565)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индексы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пишутся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дефис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маркировки: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распространяет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групповой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прокладке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пучке).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861FD6">
        <w:rPr>
          <w:rFonts w:ascii="Times New Roman" w:hAnsi="Times New Roman" w:cs="Times New Roman"/>
          <w:b/>
          <w:bCs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стойкость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пучке).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LS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Low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Smoke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Пониженное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дымовыделение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плавлении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«черную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завесу».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FR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Fire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Resistant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Огнестойкий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слюдяная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огне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90–180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минут).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HF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Halogen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Free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Безгалогенный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едких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кислотных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газов.</w:t>
      </w:r>
    </w:p>
    <w:p w:rsidR="00861FD6" w:rsidRPr="00861FD6" w:rsidRDefault="00861FD6" w:rsidP="00861FD6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LTx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Low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Toxicity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Низкая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токсичность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больниц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детсадов).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Цифровая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расшифровка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(Размер)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конце,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2.5</w:t>
      </w:r>
    </w:p>
    <w:p w:rsidR="00861FD6" w:rsidRPr="00861FD6" w:rsidRDefault="00861FD6" w:rsidP="00861FD6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Первая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цифра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кабеле.</w:t>
      </w:r>
    </w:p>
    <w:p w:rsidR="00861FD6" w:rsidRPr="00861FD6" w:rsidRDefault="00861FD6" w:rsidP="00861FD6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Вторая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цифра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(2.5)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Сечение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квадратных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миллиметрах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²).</w: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pict>
          <v:rect id="_x0000_i1026" style="width:0;height:.7pt" o:hralign="center" o:hrstd="t" o:hr="t" fillcolor="#a0a0a0" stroked="f"/>
        </w:pict>
      </w:r>
    </w:p>
    <w:p w:rsidR="00861FD6" w:rsidRPr="00861FD6" w:rsidRDefault="00861FD6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861FD6" w:rsidRPr="00861FD6" w:rsidRDefault="00861FD6" w:rsidP="00861FD6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ВВГн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861F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861FD6">
        <w:rPr>
          <w:rFonts w:ascii="Times New Roman" w:hAnsi="Times New Roman" w:cs="Times New Roman"/>
          <w:b/>
          <w:bCs/>
          <w:sz w:val="28"/>
          <w:szCs w:val="28"/>
        </w:rPr>
        <w:t>А)-LS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3х2.5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sz w:val="28"/>
          <w:szCs w:val="28"/>
        </w:rPr>
        <w:t>Медный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А).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FD6">
        <w:rPr>
          <w:rFonts w:ascii="Times New Roman" w:hAnsi="Times New Roman" w:cs="Times New Roman"/>
          <w:sz w:val="28"/>
          <w:szCs w:val="28"/>
        </w:rPr>
        <w:t>В-В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sz w:val="28"/>
          <w:szCs w:val="28"/>
        </w:rPr>
        <w:t>Гибкий</w:t>
      </w:r>
      <w:proofErr w:type="gramEnd"/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(Г).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горит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пучке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нг-А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дымит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(LS).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мм².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i/>
          <w:iCs/>
          <w:sz w:val="28"/>
          <w:szCs w:val="28"/>
        </w:rPr>
        <w:t>Вердикт: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Идеально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розеток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квартире.</w:t>
      </w:r>
    </w:p>
    <w:p w:rsidR="00861FD6" w:rsidRPr="00861FD6" w:rsidRDefault="00861FD6" w:rsidP="00861FD6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АВБбШв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4х16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Алюминиевый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(А).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(В).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FD6">
        <w:rPr>
          <w:rFonts w:ascii="Times New Roman" w:hAnsi="Times New Roman" w:cs="Times New Roman"/>
          <w:sz w:val="28"/>
          <w:szCs w:val="28"/>
        </w:rPr>
        <w:t>Бронированный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лентами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(б).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Шланг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защитный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Шв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жилы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мм².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i/>
          <w:iCs/>
          <w:sz w:val="28"/>
          <w:szCs w:val="28"/>
        </w:rPr>
        <w:t>Вердикт: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Силовой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кабель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прокладки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земле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(в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траншее)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дому.</w:t>
      </w:r>
    </w:p>
    <w:p w:rsidR="00861FD6" w:rsidRPr="00861FD6" w:rsidRDefault="00861FD6" w:rsidP="00861FD6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ВВГнг-</w:t>
      </w:r>
      <w:proofErr w:type="gramStart"/>
      <w:r w:rsidRPr="00861FD6">
        <w:rPr>
          <w:rFonts w:ascii="Times New Roman" w:hAnsi="Times New Roman" w:cs="Times New Roman"/>
          <w:b/>
          <w:bCs/>
          <w:sz w:val="28"/>
          <w:szCs w:val="28"/>
        </w:rPr>
        <w:t>FRLS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3х1.5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sz w:val="28"/>
          <w:szCs w:val="28"/>
        </w:rPr>
        <w:t>Медный,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негорючий,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FD6">
        <w:rPr>
          <w:rFonts w:ascii="Times New Roman" w:hAnsi="Times New Roman" w:cs="Times New Roman"/>
          <w:sz w:val="28"/>
          <w:szCs w:val="28"/>
        </w:rPr>
        <w:t>малодымный</w:t>
      </w:r>
      <w:proofErr w:type="spellEnd"/>
      <w:r w:rsidRPr="00861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огнестойкий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(сохраняет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sz w:val="28"/>
          <w:szCs w:val="28"/>
        </w:rPr>
        <w:t>огне).</w:t>
      </w:r>
    </w:p>
    <w:p w:rsidR="00861FD6" w:rsidRPr="00861FD6" w:rsidRDefault="00861FD6" w:rsidP="00861FD6">
      <w:pPr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D6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Вердикт: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пожарной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сигнализации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аварийного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FD6">
        <w:rPr>
          <w:rFonts w:ascii="Times New Roman" w:hAnsi="Times New Roman" w:cs="Times New Roman"/>
          <w:b/>
          <w:bCs/>
          <w:sz w:val="28"/>
          <w:szCs w:val="28"/>
        </w:rPr>
        <w:t>освещения.</w:t>
      </w:r>
    </w:p>
    <w:p w:rsidR="00197E3B" w:rsidRPr="00861FD6" w:rsidRDefault="00197E3B" w:rsidP="00861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7E3B" w:rsidRPr="00861FD6" w:rsidSect="00861F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901"/>
    <w:multiLevelType w:val="multilevel"/>
    <w:tmpl w:val="C012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B05F5"/>
    <w:multiLevelType w:val="multilevel"/>
    <w:tmpl w:val="779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F27"/>
    <w:multiLevelType w:val="multilevel"/>
    <w:tmpl w:val="D7BA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D790F"/>
    <w:multiLevelType w:val="multilevel"/>
    <w:tmpl w:val="FCA0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83201"/>
    <w:multiLevelType w:val="multilevel"/>
    <w:tmpl w:val="3F8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B00E2"/>
    <w:multiLevelType w:val="multilevel"/>
    <w:tmpl w:val="202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96F95"/>
    <w:multiLevelType w:val="multilevel"/>
    <w:tmpl w:val="D61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66D86"/>
    <w:multiLevelType w:val="multilevel"/>
    <w:tmpl w:val="DD2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F7822"/>
    <w:multiLevelType w:val="multilevel"/>
    <w:tmpl w:val="2640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D61F5"/>
    <w:multiLevelType w:val="multilevel"/>
    <w:tmpl w:val="944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00677"/>
    <w:multiLevelType w:val="multilevel"/>
    <w:tmpl w:val="7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B7833"/>
    <w:multiLevelType w:val="multilevel"/>
    <w:tmpl w:val="FFC4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885ED5"/>
    <w:multiLevelType w:val="multilevel"/>
    <w:tmpl w:val="CA8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A429E"/>
    <w:multiLevelType w:val="multilevel"/>
    <w:tmpl w:val="D0F8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A623A"/>
    <w:multiLevelType w:val="multilevel"/>
    <w:tmpl w:val="16F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10A9F"/>
    <w:multiLevelType w:val="multilevel"/>
    <w:tmpl w:val="2960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76192"/>
    <w:multiLevelType w:val="multilevel"/>
    <w:tmpl w:val="ACD8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274B56"/>
    <w:multiLevelType w:val="multilevel"/>
    <w:tmpl w:val="CA20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B75588"/>
    <w:multiLevelType w:val="multilevel"/>
    <w:tmpl w:val="090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72E7D"/>
    <w:multiLevelType w:val="multilevel"/>
    <w:tmpl w:val="6F9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D26E76"/>
    <w:multiLevelType w:val="multilevel"/>
    <w:tmpl w:val="EA8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877ED"/>
    <w:multiLevelType w:val="multilevel"/>
    <w:tmpl w:val="15E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5F1B"/>
    <w:multiLevelType w:val="multilevel"/>
    <w:tmpl w:val="BE6A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8B0E54"/>
    <w:multiLevelType w:val="multilevel"/>
    <w:tmpl w:val="A95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53260"/>
    <w:multiLevelType w:val="multilevel"/>
    <w:tmpl w:val="708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8671DB"/>
    <w:multiLevelType w:val="multilevel"/>
    <w:tmpl w:val="4EC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BC8"/>
    <w:multiLevelType w:val="multilevel"/>
    <w:tmpl w:val="034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106942"/>
    <w:multiLevelType w:val="multilevel"/>
    <w:tmpl w:val="8E2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4270E1"/>
    <w:multiLevelType w:val="multilevel"/>
    <w:tmpl w:val="79F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5A2ECA"/>
    <w:multiLevelType w:val="multilevel"/>
    <w:tmpl w:val="944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A02B83"/>
    <w:multiLevelType w:val="multilevel"/>
    <w:tmpl w:val="1D6A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05147"/>
    <w:multiLevelType w:val="multilevel"/>
    <w:tmpl w:val="AAB4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A3CEB"/>
    <w:multiLevelType w:val="multilevel"/>
    <w:tmpl w:val="6342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C36BCA"/>
    <w:multiLevelType w:val="multilevel"/>
    <w:tmpl w:val="DA86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813178"/>
    <w:multiLevelType w:val="multilevel"/>
    <w:tmpl w:val="F42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A8591E"/>
    <w:multiLevelType w:val="multilevel"/>
    <w:tmpl w:val="458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386454"/>
    <w:multiLevelType w:val="multilevel"/>
    <w:tmpl w:val="891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376B80"/>
    <w:multiLevelType w:val="multilevel"/>
    <w:tmpl w:val="D6D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5"/>
  </w:num>
  <w:num w:numId="3">
    <w:abstractNumId w:val="22"/>
  </w:num>
  <w:num w:numId="4">
    <w:abstractNumId w:val="28"/>
  </w:num>
  <w:num w:numId="5">
    <w:abstractNumId w:val="26"/>
  </w:num>
  <w:num w:numId="6">
    <w:abstractNumId w:val="19"/>
  </w:num>
  <w:num w:numId="7">
    <w:abstractNumId w:val="4"/>
  </w:num>
  <w:num w:numId="8">
    <w:abstractNumId w:val="20"/>
  </w:num>
  <w:num w:numId="9">
    <w:abstractNumId w:val="18"/>
  </w:num>
  <w:num w:numId="10">
    <w:abstractNumId w:val="10"/>
  </w:num>
  <w:num w:numId="11">
    <w:abstractNumId w:val="31"/>
  </w:num>
  <w:num w:numId="12">
    <w:abstractNumId w:val="3"/>
  </w:num>
  <w:num w:numId="13">
    <w:abstractNumId w:val="8"/>
  </w:num>
  <w:num w:numId="14">
    <w:abstractNumId w:val="32"/>
  </w:num>
  <w:num w:numId="15">
    <w:abstractNumId w:val="30"/>
  </w:num>
  <w:num w:numId="16">
    <w:abstractNumId w:val="33"/>
  </w:num>
  <w:num w:numId="17">
    <w:abstractNumId w:val="29"/>
  </w:num>
  <w:num w:numId="18">
    <w:abstractNumId w:val="1"/>
  </w:num>
  <w:num w:numId="19">
    <w:abstractNumId w:val="16"/>
  </w:num>
  <w:num w:numId="20">
    <w:abstractNumId w:val="5"/>
  </w:num>
  <w:num w:numId="21">
    <w:abstractNumId w:val="12"/>
  </w:num>
  <w:num w:numId="22">
    <w:abstractNumId w:val="2"/>
  </w:num>
  <w:num w:numId="23">
    <w:abstractNumId w:val="34"/>
  </w:num>
  <w:num w:numId="24">
    <w:abstractNumId w:val="25"/>
  </w:num>
  <w:num w:numId="25">
    <w:abstractNumId w:val="23"/>
  </w:num>
  <w:num w:numId="26">
    <w:abstractNumId w:val="15"/>
  </w:num>
  <w:num w:numId="27">
    <w:abstractNumId w:val="9"/>
  </w:num>
  <w:num w:numId="28">
    <w:abstractNumId w:val="7"/>
  </w:num>
  <w:num w:numId="29">
    <w:abstractNumId w:val="37"/>
  </w:num>
  <w:num w:numId="30">
    <w:abstractNumId w:val="17"/>
  </w:num>
  <w:num w:numId="31">
    <w:abstractNumId w:val="13"/>
  </w:num>
  <w:num w:numId="32">
    <w:abstractNumId w:val="11"/>
  </w:num>
  <w:num w:numId="33">
    <w:abstractNumId w:val="21"/>
  </w:num>
  <w:num w:numId="34">
    <w:abstractNumId w:val="36"/>
  </w:num>
  <w:num w:numId="35">
    <w:abstractNumId w:val="6"/>
  </w:num>
  <w:num w:numId="36">
    <w:abstractNumId w:val="14"/>
  </w:num>
  <w:num w:numId="37">
    <w:abstractNumId w:val="24"/>
  </w:num>
  <w:num w:numId="38">
    <w:abstractNumId w:val="0"/>
  </w:num>
  <w:num w:numId="3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1FD6"/>
    <w:rsid w:val="00197E3B"/>
    <w:rsid w:val="0086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2799</Words>
  <Characters>15958</Characters>
  <Application>Microsoft Office Word</Application>
  <DocSecurity>0</DocSecurity>
  <Lines>132</Lines>
  <Paragraphs>37</Paragraphs>
  <ScaleCrop>false</ScaleCrop>
  <Company/>
  <LinksUpToDate>false</LinksUpToDate>
  <CharactersWithSpaces>18720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2026-02-23T17:51:00Z</dcterms:created>
  <dcterms:modified xsi:type="dcterms:W3CDTF">2026-02-23T17:57:00Z</dcterms:modified>
</cp:coreProperties>
</file>