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AA" w:rsidRPr="00C961AA" w:rsidRDefault="00C961AA" w:rsidP="00C961AA">
      <w:pPr>
        <w:spacing w:after="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1AA">
        <w:rPr>
          <w:rFonts w:ascii="Times New Roman" w:hAnsi="Times New Roman" w:cs="Times New Roman"/>
          <w:b/>
          <w:sz w:val="32"/>
          <w:szCs w:val="32"/>
        </w:rPr>
        <w:t>Контрольные вопросы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spacing w:after="60"/>
        <w:ind w:left="360" w:hanging="360"/>
      </w:pPr>
      <w:r>
        <w:t>Земельная реформа 1990-</w:t>
      </w:r>
      <w:bookmarkStart w:id="0" w:name="_GoBack"/>
      <w:bookmarkEnd w:id="0"/>
      <w:r>
        <w:t>х годов и ее роль в становлении кадастра не</w:t>
      </w:r>
      <w:r>
        <w:softHyphen/>
        <w:t>движимости.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spacing w:after="60"/>
      </w:pPr>
      <w:r>
        <w:t>Цели и задачи создания информационной базы объектов недвижимости.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spacing w:after="300"/>
        <w:ind w:left="360" w:hanging="360"/>
        <w:jc w:val="both"/>
      </w:pPr>
      <w:r>
        <w:t>Организация ведения государственного кадастра недвижимости в совре</w:t>
      </w:r>
      <w:r>
        <w:softHyphen/>
        <w:t xml:space="preserve">менной России с 1990 </w:t>
      </w:r>
      <w:r>
        <w:t>года по настоящее время.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01"/>
        </w:tabs>
        <w:ind w:left="360" w:hanging="360"/>
        <w:jc w:val="both"/>
      </w:pPr>
      <w:r>
        <w:t>Полномочия государственных (муниципальных) органов власти в обла</w:t>
      </w:r>
      <w:r>
        <w:softHyphen/>
        <w:t>сти земельных и имущественных отношений. Какие сведения необходимы им для осуществления полномочий?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01"/>
        </w:tabs>
        <w:ind w:left="360" w:hanging="360"/>
        <w:jc w:val="both"/>
      </w:pPr>
      <w:r>
        <w:t>Составление земельного баланса по Российской Федерации (субъекту Р</w:t>
      </w:r>
      <w:r>
        <w:t>Ф, муниципальному образованию) и требования, предъявляемые к учетной системе.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01"/>
        </w:tabs>
        <w:ind w:left="360" w:hanging="360"/>
        <w:jc w:val="both"/>
      </w:pPr>
      <w:r>
        <w:t>Состав показателей, характеризующий земельный фонд соответствующей территории.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01"/>
        </w:tabs>
        <w:ind w:left="360" w:hanging="360"/>
        <w:jc w:val="both"/>
      </w:pPr>
      <w:r>
        <w:t>Понятие категории земель состава угодий. Поконтурные ведомости, их роль в составлении земельного ба</w:t>
      </w:r>
      <w:r>
        <w:t>ланса.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01"/>
        </w:tabs>
        <w:ind w:left="360" w:hanging="360"/>
        <w:jc w:val="both"/>
      </w:pPr>
      <w:r>
        <w:t>Формы отчетности, используемые при составлении ежегодного отчета о наличии и распределении земель соответствующего муниципального об</w:t>
      </w:r>
      <w:r>
        <w:softHyphen/>
        <w:t>разования.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tabs>
          <w:tab w:val="left" w:pos="401"/>
        </w:tabs>
        <w:spacing w:line="286" w:lineRule="auto"/>
        <w:jc w:val="both"/>
      </w:pPr>
      <w:r>
        <w:t>Качественная оценка земель (недвижимости). Виды и цель проведения.</w:t>
      </w:r>
    </w:p>
    <w:p w:rsidR="00F137CE" w:rsidRDefault="00510C05">
      <w:pPr>
        <w:pStyle w:val="1"/>
        <w:numPr>
          <w:ilvl w:val="0"/>
          <w:numId w:val="1"/>
        </w:numPr>
        <w:shd w:val="clear" w:color="auto" w:fill="auto"/>
        <w:spacing w:after="0" w:line="286" w:lineRule="auto"/>
        <w:jc w:val="both"/>
      </w:pPr>
      <w:r>
        <w:t xml:space="preserve">Бонитировка почв. Объекты и критерии </w:t>
      </w:r>
      <w:r>
        <w:t>бонитировки почв.</w:t>
      </w:r>
    </w:p>
    <w:p w:rsidR="00F137CE" w:rsidRDefault="00510C05">
      <w:pPr>
        <w:pStyle w:val="1"/>
        <w:shd w:val="clear" w:color="auto" w:fill="auto"/>
        <w:spacing w:line="264" w:lineRule="auto"/>
      </w:pPr>
      <w:r>
        <w:t>11.Экономическая оценка. Объекты и критерии экономической оценки. 12.Земельно-оценочная документация, используемая для государственных нужд.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Кадастровая оценка. Понятие и назначение. Правовая основа государ</w:t>
      </w:r>
      <w:r>
        <w:softHyphen/>
        <w:t>ственной кадастровой оценки.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Пр</w:t>
      </w:r>
      <w:r>
        <w:t>оведение государственной кадастровой оценки по землям населенных пунктов и садоводческих (огороднических) объединений и землям про</w:t>
      </w:r>
      <w:r>
        <w:softHyphen/>
        <w:t>мышленности и иного специального назначения.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Проведение кадастровой оценки по землям сельскохозяйственного назна</w:t>
      </w:r>
      <w:r>
        <w:softHyphen/>
        <w:t>чения и земл</w:t>
      </w:r>
      <w:r>
        <w:t>ям лесного фонда.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Проведение кадастровой оценки по землям особо охраняемых территорий и объектов и землям водного фонда.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Сведения государственного земельного кадастра. Его роль в создании государственного кадастра недвижимости. Цели и задачи ГЗК.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Понятие з</w:t>
      </w:r>
      <w:r>
        <w:t>емельного участка. Задачи, вытекающие из определения зе</w:t>
      </w:r>
      <w:r>
        <w:softHyphen/>
        <w:t>мельного участка по формированию объекта недвижимости.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Документы государственного земельного кадастра (основные, вспомога</w:t>
      </w:r>
      <w:r>
        <w:softHyphen/>
        <w:t>тельные, производные).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jc w:val="both"/>
      </w:pPr>
      <w:r>
        <w:lastRenderedPageBreak/>
        <w:t>Сведения ГЗК и основные сведения о земельных участках.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Кадастровые карты. Дежурные кадастровые карты. Производные кадастровые карты.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ind w:left="360" w:hanging="360"/>
        <w:jc w:val="both"/>
      </w:pPr>
      <w:r>
        <w:t>Цели и задачи кадастрового деления территории РФ. Единицы кадастрового деления.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jc w:val="both"/>
      </w:pPr>
      <w:r>
        <w:t>Структура кадастрового номера.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spacing w:after="60"/>
        <w:ind w:left="360" w:hanging="360"/>
        <w:jc w:val="both"/>
      </w:pPr>
      <w:r>
        <w:t>Составление карт земель с ограничениями (обременениями) для целей к</w:t>
      </w:r>
      <w:r>
        <w:t>адастрового учета.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spacing w:after="60"/>
        <w:ind w:left="360" w:hanging="360"/>
        <w:jc w:val="both"/>
      </w:pPr>
      <w:r>
        <w:t>Порядок ведения государственного реестра земель кадастрового района - раздел «Земельные участки».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spacing w:after="60"/>
        <w:jc w:val="both"/>
      </w:pPr>
      <w:r>
        <w:t>Ранее учтенные земельные участки.</w:t>
      </w:r>
    </w:p>
    <w:p w:rsidR="00F137CE" w:rsidRDefault="00510C05">
      <w:pPr>
        <w:pStyle w:val="1"/>
        <w:numPr>
          <w:ilvl w:val="0"/>
          <w:numId w:val="2"/>
        </w:numPr>
        <w:shd w:val="clear" w:color="auto" w:fill="auto"/>
        <w:tabs>
          <w:tab w:val="left" w:pos="550"/>
        </w:tabs>
        <w:spacing w:after="60"/>
        <w:jc w:val="both"/>
      </w:pPr>
      <w:r>
        <w:t>Ранее учтенные объекты капитального строительства.</w:t>
      </w:r>
    </w:p>
    <w:p w:rsidR="00F137CE" w:rsidRDefault="00510C05">
      <w:pPr>
        <w:pStyle w:val="1"/>
        <w:shd w:val="clear" w:color="auto" w:fill="auto"/>
        <w:spacing w:after="60"/>
        <w:ind w:left="360" w:hanging="360"/>
        <w:jc w:val="both"/>
      </w:pPr>
      <w:r>
        <w:t xml:space="preserve">28.Основание создания ГКН. Выполнение каких функций </w:t>
      </w:r>
      <w:r>
        <w:t>возложено, поня</w:t>
      </w:r>
      <w:r>
        <w:softHyphen/>
        <w:t>тие и объекты ГКН. Органы, осуществляющие ведение кадастра недви</w:t>
      </w:r>
      <w:r>
        <w:softHyphen/>
        <w:t>жимости.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jc w:val="both"/>
      </w:pPr>
      <w:r>
        <w:t>Правовая основа государственного кадастра недвижимости.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jc w:val="both"/>
      </w:pPr>
      <w:r>
        <w:t>Принципы ведения ГКН.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ind w:left="360" w:hanging="360"/>
        <w:jc w:val="both"/>
      </w:pPr>
      <w:r>
        <w:t>Геодезическая и картографическая основа государственного кадастра не</w:t>
      </w:r>
      <w:r>
        <w:softHyphen/>
        <w:t>движимости.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ind w:left="360" w:hanging="360"/>
        <w:jc w:val="both"/>
      </w:pPr>
      <w:r>
        <w:t xml:space="preserve">Состав </w:t>
      </w:r>
      <w:r>
        <w:t>сведений ГКН об объектах недвижимости (основные, дополни</w:t>
      </w:r>
      <w:r>
        <w:softHyphen/>
        <w:t>тельные).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ind w:left="360" w:hanging="360"/>
        <w:jc w:val="both"/>
      </w:pPr>
      <w:r>
        <w:t>Состав сведений ГКН о границах Российской Федерации, субъектах РФ, муниципальных образований, населенных пунктов, территориальных зон, кадастрового деления. Документы, необходимые для внесе</w:t>
      </w:r>
      <w:r>
        <w:t>ния указанных сведений в государственный кадастр недвижимости.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jc w:val="both"/>
      </w:pPr>
      <w:r>
        <w:t>Разделы ГКН и их краткая характеристика.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ind w:left="360" w:hanging="360"/>
        <w:jc w:val="both"/>
      </w:pPr>
      <w:r>
        <w:t>Предоставление сведений из ГКН. Формы (виды) документов и их назна</w:t>
      </w:r>
      <w:r>
        <w:softHyphen/>
        <w:t>чение.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ind w:left="360" w:hanging="360"/>
        <w:jc w:val="both"/>
      </w:pPr>
      <w:r>
        <w:t>Информационное взаимодействие при ведении государственного кадаст</w:t>
      </w:r>
      <w:r>
        <w:softHyphen/>
        <w:t>ра недвижимо</w:t>
      </w:r>
      <w:r>
        <w:t>сти.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spacing w:after="60"/>
        <w:ind w:left="360" w:hanging="360"/>
        <w:jc w:val="both"/>
      </w:pPr>
      <w:r>
        <w:t>Кадастровая деятельность. Документы необходимые для проведения ка</w:t>
      </w:r>
      <w:r>
        <w:softHyphen/>
        <w:t>дастрового учета объектов недвижимости.</w:t>
      </w:r>
    </w:p>
    <w:p w:rsidR="00F137CE" w:rsidRDefault="00510C05">
      <w:pPr>
        <w:pStyle w:val="1"/>
        <w:numPr>
          <w:ilvl w:val="0"/>
          <w:numId w:val="3"/>
        </w:numPr>
        <w:shd w:val="clear" w:color="auto" w:fill="auto"/>
        <w:tabs>
          <w:tab w:val="left" w:pos="555"/>
        </w:tabs>
        <w:spacing w:after="60"/>
        <w:ind w:left="500" w:hanging="500"/>
        <w:jc w:val="both"/>
      </w:pPr>
      <w:r>
        <w:t>Формы организации кадастровой деятельности. Порядок выполнения кадастровых работ.</w:t>
      </w:r>
    </w:p>
    <w:sectPr w:rsidR="00F137CE">
      <w:pgSz w:w="11900" w:h="16840"/>
      <w:pgMar w:top="1129" w:right="1085" w:bottom="1764" w:left="1455" w:header="701" w:footer="13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05" w:rsidRDefault="00510C05">
      <w:r>
        <w:separator/>
      </w:r>
    </w:p>
  </w:endnote>
  <w:endnote w:type="continuationSeparator" w:id="0">
    <w:p w:rsidR="00510C05" w:rsidRDefault="0051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05" w:rsidRDefault="00510C05"/>
  </w:footnote>
  <w:footnote w:type="continuationSeparator" w:id="0">
    <w:p w:rsidR="00510C05" w:rsidRDefault="00510C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3BE9"/>
    <w:multiLevelType w:val="multilevel"/>
    <w:tmpl w:val="0F8E399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A5B59"/>
    <w:multiLevelType w:val="multilevel"/>
    <w:tmpl w:val="39560708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75597C"/>
    <w:multiLevelType w:val="multilevel"/>
    <w:tmpl w:val="4D9E3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CE"/>
    <w:rsid w:val="00510C05"/>
    <w:rsid w:val="00C961AA"/>
    <w:rsid w:val="00F1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E9EC8A-6316-49FD-B7C4-4A40C021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2991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Н.Н. Аграновская</dc:creator>
  <cp:keywords/>
  <cp:lastModifiedBy>Bykov Vasiliy</cp:lastModifiedBy>
  <cp:revision>2</cp:revision>
  <dcterms:created xsi:type="dcterms:W3CDTF">2023-04-17T07:10:00Z</dcterms:created>
  <dcterms:modified xsi:type="dcterms:W3CDTF">2023-04-17T07:11:00Z</dcterms:modified>
</cp:coreProperties>
</file>